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7E" w:rsidRDefault="0040077E">
      <w:pPr>
        <w:spacing w:before="90"/>
        <w:jc w:val="center"/>
        <w:rPr>
          <w:sz w:val="22"/>
          <w:szCs w:val="22"/>
        </w:rPr>
      </w:pPr>
      <w:r>
        <w:rPr>
          <w:b/>
          <w:bCs/>
          <w:sz w:val="22"/>
          <w:szCs w:val="22"/>
        </w:rPr>
        <w:t>China Zenix Auto International Limited</w:t>
      </w:r>
    </w:p>
    <w:p w:rsidR="0040077E" w:rsidRDefault="0040077E">
      <w:pPr>
        <w:jc w:val="center"/>
        <w:rPr>
          <w:sz w:val="22"/>
          <w:szCs w:val="22"/>
        </w:rPr>
      </w:pPr>
      <w:r>
        <w:rPr>
          <w:b/>
          <w:bCs/>
          <w:sz w:val="22"/>
          <w:szCs w:val="22"/>
        </w:rPr>
        <w:t>No. 1608, North Circle Road State Highway</w:t>
      </w:r>
    </w:p>
    <w:p w:rsidR="0040077E" w:rsidRDefault="0040077E">
      <w:pPr>
        <w:jc w:val="center"/>
        <w:rPr>
          <w:sz w:val="22"/>
          <w:szCs w:val="22"/>
        </w:rPr>
      </w:pPr>
      <w:r>
        <w:rPr>
          <w:b/>
          <w:bCs/>
          <w:sz w:val="22"/>
          <w:szCs w:val="22"/>
        </w:rPr>
        <w:t>Zhangzhou, Fujian Province 363000</w:t>
      </w:r>
    </w:p>
    <w:p w:rsidR="0040077E" w:rsidRDefault="0040077E">
      <w:pPr>
        <w:jc w:val="center"/>
        <w:rPr>
          <w:b/>
          <w:bCs/>
          <w:sz w:val="22"/>
          <w:szCs w:val="22"/>
        </w:rPr>
      </w:pPr>
      <w:r>
        <w:rPr>
          <w:b/>
          <w:bCs/>
          <w:sz w:val="22"/>
          <w:szCs w:val="22"/>
        </w:rPr>
        <w:t>People’s Republic of China</w:t>
      </w:r>
    </w:p>
    <w:p w:rsidR="0040077E" w:rsidRDefault="0040077E">
      <w:pPr>
        <w:jc w:val="center"/>
        <w:rPr>
          <w:b/>
          <w:bCs/>
          <w:sz w:val="22"/>
          <w:szCs w:val="22"/>
        </w:rPr>
      </w:pPr>
    </w:p>
    <w:p w:rsidR="0040077E" w:rsidRDefault="0040077E">
      <w:pPr>
        <w:jc w:val="center"/>
        <w:rPr>
          <w:b/>
          <w:bCs/>
          <w:sz w:val="22"/>
          <w:szCs w:val="22"/>
        </w:rPr>
      </w:pPr>
    </w:p>
    <w:p w:rsidR="0040077E" w:rsidRDefault="003F01AB">
      <w:pPr>
        <w:jc w:val="center"/>
        <w:rPr>
          <w:sz w:val="22"/>
          <w:szCs w:val="22"/>
        </w:rPr>
      </w:pPr>
      <w:r>
        <w:rPr>
          <w:b/>
          <w:bCs/>
          <w:sz w:val="22"/>
          <w:szCs w:val="22"/>
        </w:rPr>
        <w:t>2016</w:t>
      </w:r>
      <w:r w:rsidR="0040077E">
        <w:rPr>
          <w:b/>
          <w:bCs/>
          <w:sz w:val="22"/>
          <w:szCs w:val="22"/>
        </w:rPr>
        <w:t xml:space="preserve"> ANNUAL GENERAL MEETING OF SHAREHOLDERS</w:t>
      </w:r>
    </w:p>
    <w:p w:rsidR="0040077E" w:rsidRDefault="00F0344A">
      <w:pPr>
        <w:jc w:val="center"/>
        <w:rPr>
          <w:sz w:val="22"/>
          <w:szCs w:val="22"/>
        </w:rPr>
      </w:pPr>
      <w:r>
        <w:rPr>
          <w:b/>
          <w:bCs/>
          <w:sz w:val="22"/>
          <w:szCs w:val="22"/>
        </w:rPr>
        <w:t>TO BE HELD ON December</w:t>
      </w:r>
      <w:r w:rsidR="00D72498">
        <w:rPr>
          <w:b/>
          <w:bCs/>
          <w:sz w:val="22"/>
          <w:szCs w:val="22"/>
        </w:rPr>
        <w:t xml:space="preserve"> </w:t>
      </w:r>
      <w:r w:rsidR="003F01AB">
        <w:rPr>
          <w:b/>
          <w:bCs/>
          <w:sz w:val="22"/>
          <w:szCs w:val="22"/>
        </w:rPr>
        <w:t>5</w:t>
      </w:r>
      <w:r w:rsidR="0040077E">
        <w:rPr>
          <w:b/>
          <w:bCs/>
          <w:sz w:val="22"/>
          <w:szCs w:val="22"/>
        </w:rPr>
        <w:t>, 201</w:t>
      </w:r>
      <w:r w:rsidR="003F01AB">
        <w:rPr>
          <w:b/>
          <w:bCs/>
          <w:sz w:val="22"/>
          <w:szCs w:val="22"/>
        </w:rPr>
        <w:t>6</w:t>
      </w:r>
    </w:p>
    <w:p w:rsidR="0040077E" w:rsidRDefault="002E0B66" w:rsidP="002E0B66">
      <w:pPr>
        <w:tabs>
          <w:tab w:val="left" w:pos="3142"/>
          <w:tab w:val="center" w:pos="4680"/>
        </w:tabs>
        <w:spacing w:before="360"/>
        <w:rPr>
          <w:sz w:val="22"/>
          <w:szCs w:val="22"/>
        </w:rPr>
      </w:pPr>
      <w:r>
        <w:rPr>
          <w:b/>
          <w:bCs/>
          <w:sz w:val="22"/>
          <w:szCs w:val="22"/>
        </w:rPr>
        <w:tab/>
      </w:r>
      <w:r>
        <w:rPr>
          <w:b/>
          <w:bCs/>
          <w:sz w:val="22"/>
          <w:szCs w:val="22"/>
        </w:rPr>
        <w:tab/>
      </w:r>
      <w:r w:rsidR="0040077E">
        <w:rPr>
          <w:b/>
          <w:bCs/>
          <w:sz w:val="22"/>
          <w:szCs w:val="22"/>
        </w:rPr>
        <w:t>PROXY STATEMENT</w:t>
      </w:r>
    </w:p>
    <w:p w:rsidR="0040077E" w:rsidRDefault="0040077E">
      <w:pPr>
        <w:spacing w:before="270"/>
        <w:jc w:val="both"/>
        <w:rPr>
          <w:b/>
          <w:bCs/>
          <w:sz w:val="22"/>
          <w:szCs w:val="22"/>
        </w:rPr>
      </w:pPr>
      <w:r>
        <w:rPr>
          <w:b/>
          <w:bCs/>
          <w:sz w:val="22"/>
          <w:szCs w:val="22"/>
        </w:rPr>
        <w:t>General</w:t>
      </w:r>
    </w:p>
    <w:p w:rsidR="0040077E" w:rsidRDefault="0040077E">
      <w:pPr>
        <w:jc w:val="both"/>
        <w:rPr>
          <w:b/>
          <w:bCs/>
          <w:sz w:val="22"/>
          <w:szCs w:val="22"/>
        </w:rPr>
      </w:pPr>
    </w:p>
    <w:p w:rsidR="0040077E" w:rsidRDefault="0040077E">
      <w:pPr>
        <w:ind w:firstLine="490"/>
        <w:jc w:val="both"/>
        <w:rPr>
          <w:sz w:val="22"/>
          <w:szCs w:val="22"/>
        </w:rPr>
      </w:pPr>
      <w:r>
        <w:rPr>
          <w:sz w:val="22"/>
          <w:szCs w:val="22"/>
        </w:rPr>
        <w:t xml:space="preserve">We are soliciting proxies on behalf of our board of directors for use at the annual general meeting of shareholders to be held on </w:t>
      </w:r>
      <w:r w:rsidR="00106AB8">
        <w:rPr>
          <w:bCs/>
          <w:sz w:val="22"/>
          <w:szCs w:val="22"/>
        </w:rPr>
        <w:t xml:space="preserve">December </w:t>
      </w:r>
      <w:r w:rsidR="003F01AB">
        <w:rPr>
          <w:bCs/>
          <w:sz w:val="22"/>
          <w:szCs w:val="22"/>
        </w:rPr>
        <w:t>5</w:t>
      </w:r>
      <w:r w:rsidR="00106AB8">
        <w:rPr>
          <w:bCs/>
          <w:sz w:val="22"/>
          <w:szCs w:val="22"/>
        </w:rPr>
        <w:t>, 201</w:t>
      </w:r>
      <w:r w:rsidR="003F01AB">
        <w:rPr>
          <w:bCs/>
          <w:sz w:val="22"/>
          <w:szCs w:val="22"/>
        </w:rPr>
        <w:t>6</w:t>
      </w:r>
      <w:r>
        <w:rPr>
          <w:sz w:val="22"/>
          <w:szCs w:val="22"/>
        </w:rPr>
        <w:t xml:space="preserve"> at 10:00 a.m., Beijing time, or at any adjournment or postponement thereof.  The annual general meeting will be held at our offices located at No. 1608, North Circle Road State Highway, Zhangzhou, Fujian Province 363000, </w:t>
      </w:r>
      <w:proofErr w:type="gramStart"/>
      <w:r>
        <w:rPr>
          <w:sz w:val="22"/>
          <w:szCs w:val="22"/>
        </w:rPr>
        <w:t>People’s</w:t>
      </w:r>
      <w:proofErr w:type="gramEnd"/>
      <w:r>
        <w:rPr>
          <w:sz w:val="22"/>
          <w:szCs w:val="22"/>
        </w:rPr>
        <w:t xml:space="preserve"> Republic of China.</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This proxy statement is available to shar</w:t>
      </w:r>
      <w:r w:rsidR="00106AB8">
        <w:rPr>
          <w:sz w:val="22"/>
          <w:szCs w:val="22"/>
        </w:rPr>
        <w:t xml:space="preserve">eholders beginning on November </w:t>
      </w:r>
      <w:r w:rsidR="003F01AB">
        <w:rPr>
          <w:sz w:val="22"/>
          <w:szCs w:val="22"/>
        </w:rPr>
        <w:t>14</w:t>
      </w:r>
      <w:r w:rsidR="00106AB8">
        <w:rPr>
          <w:bCs/>
          <w:sz w:val="22"/>
          <w:szCs w:val="22"/>
        </w:rPr>
        <w:t>, 201</w:t>
      </w:r>
      <w:r w:rsidR="00F237C8">
        <w:rPr>
          <w:rFonts w:hint="eastAsia"/>
          <w:bCs/>
          <w:sz w:val="22"/>
          <w:szCs w:val="22"/>
          <w:lang w:eastAsia="zh-CN"/>
        </w:rPr>
        <w:t>6</w:t>
      </w:r>
      <w:r>
        <w:rPr>
          <w:sz w:val="22"/>
          <w:szCs w:val="22"/>
        </w:rPr>
        <w:t xml:space="preserve"> and the form of proxy is first being mailed to sha</w:t>
      </w:r>
      <w:r w:rsidR="00106AB8">
        <w:rPr>
          <w:sz w:val="22"/>
          <w:szCs w:val="22"/>
        </w:rPr>
        <w:t>reholders on or about November</w:t>
      </w:r>
      <w:r w:rsidR="003F01AB">
        <w:rPr>
          <w:sz w:val="22"/>
          <w:szCs w:val="22"/>
        </w:rPr>
        <w:t xml:space="preserve"> 14</w:t>
      </w:r>
      <w:r w:rsidR="00106AB8">
        <w:rPr>
          <w:bCs/>
          <w:sz w:val="22"/>
          <w:szCs w:val="22"/>
        </w:rPr>
        <w:t>, 201</w:t>
      </w:r>
      <w:r w:rsidR="00F237C8">
        <w:rPr>
          <w:rFonts w:hint="eastAsia"/>
          <w:bCs/>
          <w:sz w:val="22"/>
          <w:szCs w:val="22"/>
          <w:lang w:eastAsia="zh-CN"/>
        </w:rPr>
        <w:t>6</w:t>
      </w:r>
      <w:r>
        <w:rPr>
          <w:sz w:val="22"/>
          <w:szCs w:val="22"/>
        </w:rPr>
        <w:t xml:space="preserve">. </w:t>
      </w:r>
    </w:p>
    <w:p w:rsidR="0040077E" w:rsidRDefault="0040077E">
      <w:pPr>
        <w:ind w:firstLine="490"/>
        <w:jc w:val="both"/>
        <w:rPr>
          <w:sz w:val="22"/>
          <w:szCs w:val="22"/>
        </w:rPr>
      </w:pPr>
    </w:p>
    <w:p w:rsidR="0040077E" w:rsidRDefault="0040077E">
      <w:pPr>
        <w:jc w:val="both"/>
        <w:rPr>
          <w:b/>
          <w:bCs/>
          <w:sz w:val="22"/>
          <w:szCs w:val="22"/>
        </w:rPr>
      </w:pPr>
      <w:r>
        <w:rPr>
          <w:b/>
          <w:bCs/>
          <w:sz w:val="22"/>
          <w:szCs w:val="22"/>
        </w:rPr>
        <w:t xml:space="preserve">Revocability of Proxies </w:t>
      </w:r>
    </w:p>
    <w:p w:rsidR="0040077E" w:rsidRDefault="0040077E">
      <w:pPr>
        <w:jc w:val="both"/>
        <w:rPr>
          <w:sz w:val="22"/>
          <w:szCs w:val="22"/>
        </w:rPr>
      </w:pPr>
    </w:p>
    <w:p w:rsidR="0040077E" w:rsidRDefault="0040077E">
      <w:pPr>
        <w:ind w:firstLine="490"/>
        <w:jc w:val="both"/>
        <w:rPr>
          <w:sz w:val="22"/>
          <w:szCs w:val="22"/>
        </w:rPr>
      </w:pPr>
      <w:r>
        <w:rPr>
          <w:sz w:val="22"/>
          <w:szCs w:val="22"/>
        </w:rPr>
        <w:t>Any proxy given pursuant to this solicitation may be revoked by the person giving it at any time before its use by delivering a written notice of revocation or a duly executed proxy bearing a later date or, if you hold ordinary shares, by attending the annual general meeting and voting in person.  Attendance at the annual general meeting in and of itself does not revoke a prior proxy.  A written notice of revocation must be delivered t</w:t>
      </w:r>
      <w:r w:rsidR="00E522CA">
        <w:rPr>
          <w:sz w:val="22"/>
          <w:szCs w:val="22"/>
        </w:rPr>
        <w:t>o the attention of Martin Cheung</w:t>
      </w:r>
      <w:r>
        <w:rPr>
          <w:sz w:val="22"/>
          <w:szCs w:val="22"/>
        </w:rPr>
        <w:t>, our Chief Financial Officer, if you hold our ordinary shares, or to The Bank of New Y</w:t>
      </w:r>
      <w:bookmarkStart w:id="0" w:name="_GoBack"/>
      <w:bookmarkEnd w:id="0"/>
      <w:r>
        <w:rPr>
          <w:sz w:val="22"/>
          <w:szCs w:val="22"/>
        </w:rPr>
        <w:t xml:space="preserve">ork Mellon if you hold American Depositary Shares, known as ADSs, representing our ordinary shares. </w:t>
      </w:r>
    </w:p>
    <w:p w:rsidR="0040077E" w:rsidRDefault="0040077E">
      <w:pPr>
        <w:jc w:val="both"/>
        <w:rPr>
          <w:b/>
          <w:bCs/>
          <w:sz w:val="22"/>
          <w:szCs w:val="22"/>
        </w:rPr>
      </w:pPr>
    </w:p>
    <w:p w:rsidR="0040077E" w:rsidRDefault="0040077E">
      <w:pPr>
        <w:jc w:val="both"/>
        <w:rPr>
          <w:sz w:val="22"/>
          <w:szCs w:val="22"/>
        </w:rPr>
      </w:pPr>
      <w:r>
        <w:rPr>
          <w:b/>
          <w:bCs/>
          <w:sz w:val="22"/>
          <w:szCs w:val="22"/>
        </w:rPr>
        <w:t xml:space="preserve">Record Date, Share Ownership and Quorum </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 xml:space="preserve">Shareholders of record at the close of business on </w:t>
      </w:r>
      <w:r w:rsidR="00465156">
        <w:rPr>
          <w:bCs/>
          <w:sz w:val="22"/>
          <w:szCs w:val="22"/>
        </w:rPr>
        <w:t xml:space="preserve">November </w:t>
      </w:r>
      <w:r w:rsidR="003F01AB">
        <w:rPr>
          <w:bCs/>
          <w:sz w:val="22"/>
          <w:szCs w:val="22"/>
        </w:rPr>
        <w:t>7</w:t>
      </w:r>
      <w:r w:rsidR="00465156">
        <w:rPr>
          <w:bCs/>
          <w:sz w:val="22"/>
          <w:szCs w:val="22"/>
        </w:rPr>
        <w:t>, 201</w:t>
      </w:r>
      <w:r w:rsidR="003F01AB">
        <w:rPr>
          <w:bCs/>
          <w:sz w:val="22"/>
          <w:szCs w:val="22"/>
        </w:rPr>
        <w:t>6</w:t>
      </w:r>
      <w:r>
        <w:rPr>
          <w:sz w:val="22"/>
          <w:szCs w:val="22"/>
        </w:rPr>
        <w:t xml:space="preserve"> are entitled to vote at the annual general meeting.  Our ordinary shares underlying ADSs are included for purposes of this determin</w:t>
      </w:r>
      <w:r w:rsidR="00465156">
        <w:rPr>
          <w:sz w:val="22"/>
          <w:szCs w:val="22"/>
        </w:rPr>
        <w:t>ation.  As of September 30, 201</w:t>
      </w:r>
      <w:r w:rsidR="003F01AB">
        <w:rPr>
          <w:sz w:val="22"/>
          <w:szCs w:val="22"/>
        </w:rPr>
        <w:t>6</w:t>
      </w:r>
      <w:r>
        <w:rPr>
          <w:sz w:val="22"/>
          <w:szCs w:val="22"/>
        </w:rPr>
        <w:t xml:space="preserve">, 206,500,000 of our ordinary shares, par value US$0.0001 per share, were outstanding, of which approximately </w:t>
      </w:r>
      <w:r w:rsidR="00A073BD">
        <w:rPr>
          <w:rFonts w:hint="eastAsia"/>
          <w:sz w:val="22"/>
          <w:szCs w:val="22"/>
          <w:lang w:eastAsia="zh-CN"/>
        </w:rPr>
        <w:t>62,499,988</w:t>
      </w:r>
      <w:r w:rsidR="00947B4E">
        <w:rPr>
          <w:sz w:val="22"/>
          <w:szCs w:val="22"/>
          <w:lang w:eastAsia="zh-CN"/>
        </w:rPr>
        <w:t xml:space="preserve"> ordinary shares</w:t>
      </w:r>
      <w:r>
        <w:rPr>
          <w:sz w:val="22"/>
          <w:szCs w:val="22"/>
        </w:rPr>
        <w:t xml:space="preserve"> were represented by ADSs.  The presence of at least two ordinary shareholders in person or by proxy will constitute a quorum for the transaction of business at the annual general meeting; provided, however, that in no case shall such quorum represent less than 30% of our outstanding ordinary shares. </w:t>
      </w:r>
    </w:p>
    <w:p w:rsidR="0040077E" w:rsidRDefault="0040077E">
      <w:pPr>
        <w:jc w:val="both"/>
        <w:rPr>
          <w:b/>
          <w:bCs/>
          <w:sz w:val="22"/>
          <w:szCs w:val="22"/>
        </w:rPr>
      </w:pPr>
    </w:p>
    <w:p w:rsidR="0040077E" w:rsidRDefault="0040077E">
      <w:pPr>
        <w:jc w:val="both"/>
        <w:rPr>
          <w:sz w:val="22"/>
          <w:szCs w:val="22"/>
        </w:rPr>
      </w:pPr>
      <w:r>
        <w:rPr>
          <w:b/>
          <w:bCs/>
          <w:sz w:val="22"/>
          <w:szCs w:val="22"/>
        </w:rPr>
        <w:t xml:space="preserve">Voting and Solicitation </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 xml:space="preserve">Each share outstanding on the record date is entitled to one vote.  Voting by holders of ordinary shares at the annual general meeting will be by a show of hands unless the chairman of the meeting or any shareholder present in person or by proxy demands that a poll be taken.  Holders of ADSs cannot vote at such meeting. </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 xml:space="preserve">The costs of soliciting proxies will be borne by our company.  Proxies may be solicited by certain of our directors, officers and regular employees, without additional compensation, in person or by telephone </w:t>
      </w:r>
      <w:r>
        <w:rPr>
          <w:sz w:val="22"/>
          <w:szCs w:val="22"/>
        </w:rPr>
        <w:lastRenderedPageBreak/>
        <w:t xml:space="preserve">or electronic mail.  The solicitation materials are available on our company’s website at </w:t>
      </w:r>
      <w:r>
        <w:rPr>
          <w:sz w:val="22"/>
          <w:szCs w:val="22"/>
          <w:u w:val="single"/>
        </w:rPr>
        <w:t>http://zenixauto.investorroom.com/</w:t>
      </w:r>
      <w:r>
        <w:rPr>
          <w:sz w:val="22"/>
          <w:szCs w:val="22"/>
        </w:rPr>
        <w:t xml:space="preserve">.  Hard copies of the solicitation materials are available upon request to shareholders free of charge. </w:t>
      </w:r>
    </w:p>
    <w:p w:rsidR="0040077E" w:rsidRDefault="0040077E">
      <w:pPr>
        <w:ind w:firstLine="490"/>
        <w:jc w:val="both"/>
        <w:rPr>
          <w:b/>
          <w:bCs/>
          <w:sz w:val="22"/>
          <w:szCs w:val="22"/>
        </w:rPr>
      </w:pPr>
    </w:p>
    <w:p w:rsidR="0040077E" w:rsidRDefault="0040077E">
      <w:pPr>
        <w:ind w:firstLine="490"/>
        <w:jc w:val="both"/>
        <w:rPr>
          <w:sz w:val="22"/>
          <w:szCs w:val="22"/>
        </w:rPr>
      </w:pPr>
      <w:r>
        <w:rPr>
          <w:b/>
          <w:bCs/>
          <w:sz w:val="22"/>
          <w:szCs w:val="22"/>
        </w:rPr>
        <w:t xml:space="preserve">Voting by Holders of Ordinary Shares </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When proxies are properly dated, executed and returned by holders of ordinary shares, the shares they represent will be voted at the annual general meeting in accordance with the instructions of the shareholder.  If no specific instructions are given by such holders, the shares will be voted “FOR” proposals</w:t>
      </w:r>
      <w:r w:rsidR="00DF489C">
        <w:rPr>
          <w:sz w:val="22"/>
          <w:szCs w:val="22"/>
        </w:rPr>
        <w:t xml:space="preserve"> 1</w:t>
      </w:r>
      <w:r>
        <w:rPr>
          <w:sz w:val="22"/>
          <w:szCs w:val="22"/>
        </w:rPr>
        <w:t xml:space="preserve"> and</w:t>
      </w:r>
      <w:r w:rsidR="00F237C8">
        <w:rPr>
          <w:sz w:val="22"/>
          <w:szCs w:val="22"/>
        </w:rPr>
        <w:t xml:space="preserve"> </w:t>
      </w:r>
      <w:r w:rsidR="00F237C8">
        <w:rPr>
          <w:rFonts w:hint="eastAsia"/>
          <w:sz w:val="22"/>
          <w:szCs w:val="22"/>
          <w:lang w:eastAsia="zh-CN"/>
        </w:rPr>
        <w:t>pro</w:t>
      </w:r>
      <w:r w:rsidR="00F237C8">
        <w:rPr>
          <w:sz w:val="22"/>
          <w:szCs w:val="22"/>
          <w:lang w:eastAsia="zh-CN"/>
        </w:rPr>
        <w:t>posal 2 as well as</w:t>
      </w:r>
      <w:r>
        <w:rPr>
          <w:sz w:val="22"/>
          <w:szCs w:val="22"/>
        </w:rPr>
        <w:t xml:space="preserve"> in the proxy holder’s discretion as to other matters that may properly come before the annual general meeting.  Abstentions by holders of ordinary shares are included in the determination of the number of shares present and voting but are not counted as votes for or against a proposal.  Broker non-votes will not be counted towards a quorum or for any purpose in determining whether the proposal is approved. </w:t>
      </w:r>
    </w:p>
    <w:p w:rsidR="0040077E" w:rsidRDefault="0040077E">
      <w:pPr>
        <w:ind w:firstLine="490"/>
        <w:jc w:val="both"/>
        <w:rPr>
          <w:b/>
          <w:bCs/>
          <w:sz w:val="22"/>
          <w:szCs w:val="22"/>
        </w:rPr>
      </w:pPr>
    </w:p>
    <w:p w:rsidR="0040077E" w:rsidRDefault="0040077E">
      <w:pPr>
        <w:ind w:firstLine="490"/>
        <w:jc w:val="both"/>
        <w:rPr>
          <w:sz w:val="22"/>
          <w:szCs w:val="22"/>
        </w:rPr>
      </w:pPr>
      <w:r>
        <w:rPr>
          <w:b/>
          <w:bCs/>
          <w:sz w:val="22"/>
          <w:szCs w:val="22"/>
        </w:rPr>
        <w:t xml:space="preserve">Voting by Holders of American Depositary Shares </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The Bank of New York Mellon, as depositary of the ADSs, has advised us that it intends to mail to all o</w:t>
      </w:r>
      <w:r w:rsidR="00DF489C">
        <w:rPr>
          <w:sz w:val="22"/>
          <w:szCs w:val="22"/>
        </w:rPr>
        <w:t>wners of ADSs the Notice of 201</w:t>
      </w:r>
      <w:r w:rsidR="003F01AB">
        <w:rPr>
          <w:sz w:val="22"/>
          <w:szCs w:val="22"/>
        </w:rPr>
        <w:t>6</w:t>
      </w:r>
      <w:r>
        <w:rPr>
          <w:sz w:val="22"/>
          <w:szCs w:val="22"/>
        </w:rPr>
        <w:t xml:space="preserve"> Annual General Meeting of Shareholders and an ADS Voting Instruction Card.  Upon the delivery of a signed and completed ADS Voting Instruction Card as instructed therein, The Bank of New York Mellon will endeavor, to the extent practicable, to vote or cause to be voted the amount of ordinary shares represented by the ADSs, evidenced by American Depositary Receipts related to those ADSs, in accordance with the instructions set forth in such request.  The Bank of New York Mellon has advised us that it will not vote or attempt to exercise the right to vote other than in accordance with those instructions.  As the holder of record for all the shares represented by the ADSs, only The Bank of New York Mellon may vote those shares at the annual general meeting. </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 xml:space="preserve">The Bank of New York Mellon and its agents are not responsible if they fail to carry out your voting instructions or for the manner in which they carry out your voting instructions.  This means that if the ordinary shares underlying your ADSs are not able to be voted at the annual general meeting, there may be nothing you can do. </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If (i) the enclosed ADS Voting Instruction Card is signed but is missing voting instructions, (ii) the enclosed ADS Voting Instruction Card is improperly completed or (iii) no ADS Voting Instruction Card is received by The Bank of New York Mellon from a holder of ADSs prior to 5:00 p.m</w:t>
      </w:r>
      <w:r w:rsidR="00DF489C">
        <w:rPr>
          <w:sz w:val="22"/>
          <w:szCs w:val="22"/>
        </w:rPr>
        <w:t>., New York Time, on November 30</w:t>
      </w:r>
      <w:r w:rsidR="00DF489C">
        <w:rPr>
          <w:bCs/>
          <w:sz w:val="22"/>
          <w:szCs w:val="22"/>
        </w:rPr>
        <w:t>, 201</w:t>
      </w:r>
      <w:r w:rsidR="003F01AB">
        <w:rPr>
          <w:bCs/>
          <w:sz w:val="22"/>
          <w:szCs w:val="22"/>
        </w:rPr>
        <w:t>6</w:t>
      </w:r>
      <w:r>
        <w:rPr>
          <w:sz w:val="22"/>
          <w:szCs w:val="22"/>
        </w:rPr>
        <w:t xml:space="preserve">, The Bank of New York Mellon will deem such holder of ADSs to have instructed it to give a proxy to the chairman of the annual general meeting to vote in favor of each proposal recommended by our board of directors and against each proposal opposed by our board of directors. </w:t>
      </w:r>
    </w:p>
    <w:p w:rsidR="0040077E" w:rsidRDefault="0040077E">
      <w:pPr>
        <w:jc w:val="both"/>
        <w:rPr>
          <w:sz w:val="22"/>
          <w:szCs w:val="22"/>
        </w:rPr>
      </w:pPr>
    </w:p>
    <w:p w:rsidR="0040077E" w:rsidRDefault="0040077E">
      <w:pPr>
        <w:jc w:val="center"/>
        <w:rPr>
          <w:sz w:val="22"/>
          <w:szCs w:val="22"/>
        </w:rPr>
      </w:pPr>
      <w:r>
        <w:rPr>
          <w:b/>
          <w:bCs/>
          <w:sz w:val="22"/>
          <w:szCs w:val="22"/>
        </w:rPr>
        <w:br w:type="page"/>
      </w:r>
      <w:r>
        <w:rPr>
          <w:b/>
          <w:bCs/>
          <w:sz w:val="22"/>
          <w:szCs w:val="22"/>
        </w:rPr>
        <w:lastRenderedPageBreak/>
        <w:t>PROPOSAL 1</w:t>
      </w:r>
    </w:p>
    <w:p w:rsidR="0040077E" w:rsidRDefault="0040077E">
      <w:pPr>
        <w:spacing w:before="180"/>
        <w:jc w:val="center"/>
        <w:rPr>
          <w:sz w:val="22"/>
          <w:szCs w:val="22"/>
        </w:rPr>
      </w:pPr>
      <w:r>
        <w:rPr>
          <w:b/>
          <w:bCs/>
          <w:sz w:val="22"/>
          <w:szCs w:val="22"/>
        </w:rPr>
        <w:t>ELECTION OF DIRECTORS</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The board of directors has nominated all of our five current di</w:t>
      </w:r>
      <w:r w:rsidR="001F7DC1">
        <w:rPr>
          <w:sz w:val="22"/>
          <w:szCs w:val="22"/>
        </w:rPr>
        <w:t>rectors for election at the 201</w:t>
      </w:r>
      <w:r w:rsidR="003F01AB">
        <w:rPr>
          <w:sz w:val="22"/>
          <w:szCs w:val="22"/>
        </w:rPr>
        <w:t>6</w:t>
      </w:r>
      <w:r>
        <w:rPr>
          <w:sz w:val="22"/>
          <w:szCs w:val="22"/>
        </w:rPr>
        <w:t xml:space="preserve"> annual general meeting.  Each director to be elected will hold office until the next annual general meeting of shareholders and until such director’s successor is elected and is duly qualified, or until such director’s earlier death, bankruptcy, insanity, resignation or removal.  Proxies cannot, however, be voted for a greater number of persons than the number of nominees named in this proxy statement. </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 xml:space="preserve">Shares represented by executed proxies will be voted, if authority to do so is not withheld, for the election of the five nominees named below.  The board has no reason to believe that any of the nominees named below will be unable or unwilling to serve as a director if elected.  In the event that any nominee should be unavailable for election as a result of an unexpected occurrence, such shares will be voted for the election of such substitute nominee as management may propose. </w:t>
      </w:r>
    </w:p>
    <w:p w:rsidR="0040077E" w:rsidRDefault="0040077E">
      <w:pPr>
        <w:ind w:firstLine="490"/>
        <w:jc w:val="both"/>
        <w:rPr>
          <w:sz w:val="22"/>
          <w:szCs w:val="22"/>
        </w:rPr>
      </w:pPr>
    </w:p>
    <w:p w:rsidR="0040077E" w:rsidRDefault="0040077E">
      <w:pPr>
        <w:ind w:firstLine="490"/>
        <w:jc w:val="both"/>
        <w:rPr>
          <w:b/>
          <w:i/>
          <w:sz w:val="22"/>
          <w:szCs w:val="22"/>
        </w:rPr>
      </w:pPr>
      <w:r>
        <w:rPr>
          <w:sz w:val="22"/>
          <w:szCs w:val="22"/>
        </w:rPr>
        <w:t>T</w:t>
      </w:r>
      <w:r w:rsidR="001F7DC1">
        <w:rPr>
          <w:sz w:val="22"/>
          <w:szCs w:val="22"/>
        </w:rPr>
        <w:t>he names of the nominees</w:t>
      </w:r>
      <w:r>
        <w:rPr>
          <w:sz w:val="22"/>
          <w:szCs w:val="22"/>
        </w:rPr>
        <w:t>,</w:t>
      </w:r>
      <w:r w:rsidR="001F7DC1">
        <w:rPr>
          <w:sz w:val="22"/>
          <w:szCs w:val="22"/>
        </w:rPr>
        <w:t xml:space="preserve"> their ages as of March 31, 201</w:t>
      </w:r>
      <w:r w:rsidR="003F01AB">
        <w:rPr>
          <w:sz w:val="22"/>
          <w:szCs w:val="22"/>
        </w:rPr>
        <w:t>6</w:t>
      </w:r>
      <w:r>
        <w:rPr>
          <w:sz w:val="22"/>
          <w:szCs w:val="22"/>
        </w:rPr>
        <w:t xml:space="preserve"> and the positions with our company held by them are as follows: </w:t>
      </w:r>
    </w:p>
    <w:p w:rsidR="0040077E" w:rsidRDefault="0040077E">
      <w:pPr>
        <w:jc w:val="both"/>
        <w:rPr>
          <w:sz w:val="22"/>
          <w:szCs w:val="22"/>
        </w:rPr>
      </w:pPr>
      <w:r>
        <w:rPr>
          <w:sz w:val="22"/>
          <w:szCs w:val="22"/>
        </w:rPr>
        <w:t> </w:t>
      </w:r>
    </w:p>
    <w:tbl>
      <w:tblPr>
        <w:tblW w:w="5201" w:type="pct"/>
        <w:jc w:val="center"/>
        <w:tblCellMar>
          <w:left w:w="0" w:type="dxa"/>
          <w:right w:w="0" w:type="dxa"/>
        </w:tblCellMar>
        <w:tblLook w:val="0000" w:firstRow="0" w:lastRow="0" w:firstColumn="0" w:lastColumn="0" w:noHBand="0" w:noVBand="0"/>
      </w:tblPr>
      <w:tblGrid>
        <w:gridCol w:w="5060"/>
        <w:gridCol w:w="511"/>
        <w:gridCol w:w="4165"/>
      </w:tblGrid>
      <w:tr w:rsidR="0040077E" w:rsidRPr="00381C40">
        <w:trPr>
          <w:trHeight w:val="282"/>
          <w:tblHeader/>
          <w:jc w:val="center"/>
        </w:trPr>
        <w:tc>
          <w:tcPr>
            <w:tcW w:w="2599" w:type="pct"/>
            <w:noWrap/>
            <w:vAlign w:val="bottom"/>
          </w:tcPr>
          <w:p w:rsidR="0040077E" w:rsidRPr="00381C40" w:rsidRDefault="0040077E">
            <w:pPr>
              <w:pStyle w:val="NormalWeb"/>
              <w:keepNext/>
              <w:rPr>
                <w:sz w:val="22"/>
                <w:szCs w:val="22"/>
              </w:rPr>
            </w:pPr>
            <w:r w:rsidRPr="00381C40">
              <w:rPr>
                <w:b/>
                <w:bCs/>
                <w:sz w:val="22"/>
                <w:szCs w:val="22"/>
              </w:rPr>
              <w:t>Name</w:t>
            </w:r>
          </w:p>
          <w:p w:rsidR="0040077E" w:rsidRPr="00381C40" w:rsidRDefault="0040077E">
            <w:pPr>
              <w:pStyle w:val="rrdsinglerule"/>
              <w:keepNext/>
              <w:spacing w:before="0"/>
              <w:rPr>
                <w:sz w:val="22"/>
                <w:szCs w:val="22"/>
              </w:rPr>
            </w:pPr>
            <w:r w:rsidRPr="00381C40">
              <w:rPr>
                <w:sz w:val="22"/>
                <w:szCs w:val="22"/>
              </w:rPr>
              <w:t> </w:t>
            </w:r>
          </w:p>
        </w:tc>
        <w:tc>
          <w:tcPr>
            <w:tcW w:w="0" w:type="auto"/>
            <w:tcMar>
              <w:top w:w="0" w:type="dxa"/>
              <w:left w:w="144" w:type="dxa"/>
              <w:bottom w:w="0" w:type="dxa"/>
              <w:right w:w="0" w:type="dxa"/>
            </w:tcMar>
            <w:vAlign w:val="bottom"/>
          </w:tcPr>
          <w:p w:rsidR="0040077E" w:rsidRPr="00381C40" w:rsidRDefault="0040077E">
            <w:pPr>
              <w:jc w:val="center"/>
              <w:rPr>
                <w:sz w:val="22"/>
                <w:szCs w:val="22"/>
              </w:rPr>
            </w:pPr>
            <w:r w:rsidRPr="00381C40">
              <w:rPr>
                <w:b/>
                <w:bCs/>
                <w:sz w:val="22"/>
                <w:szCs w:val="22"/>
              </w:rPr>
              <w:t>Age</w:t>
            </w:r>
            <w:r w:rsidRPr="00381C40">
              <w:rPr>
                <w:sz w:val="22"/>
                <w:szCs w:val="22"/>
              </w:rPr>
              <w:t xml:space="preserve"> </w:t>
            </w:r>
          </w:p>
          <w:p w:rsidR="0040077E" w:rsidRPr="00381C40" w:rsidRDefault="0040077E">
            <w:pPr>
              <w:pStyle w:val="rrdsinglerule"/>
              <w:spacing w:before="0"/>
              <w:rPr>
                <w:sz w:val="22"/>
                <w:szCs w:val="22"/>
              </w:rPr>
            </w:pPr>
            <w:r w:rsidRPr="00381C40">
              <w:rPr>
                <w:sz w:val="22"/>
                <w:szCs w:val="22"/>
              </w:rPr>
              <w:t> </w:t>
            </w:r>
          </w:p>
        </w:tc>
        <w:tc>
          <w:tcPr>
            <w:tcW w:w="2139" w:type="pct"/>
            <w:tcMar>
              <w:top w:w="0" w:type="dxa"/>
              <w:left w:w="144" w:type="dxa"/>
              <w:bottom w:w="0" w:type="dxa"/>
              <w:right w:w="0" w:type="dxa"/>
            </w:tcMar>
            <w:vAlign w:val="bottom"/>
          </w:tcPr>
          <w:p w:rsidR="0040077E" w:rsidRPr="00381C40" w:rsidRDefault="0040077E">
            <w:pPr>
              <w:pStyle w:val="NormalWeb"/>
              <w:rPr>
                <w:sz w:val="22"/>
                <w:szCs w:val="22"/>
              </w:rPr>
            </w:pPr>
            <w:r w:rsidRPr="00381C40">
              <w:rPr>
                <w:b/>
                <w:bCs/>
                <w:sz w:val="22"/>
                <w:szCs w:val="22"/>
              </w:rPr>
              <w:t>Position</w:t>
            </w:r>
          </w:p>
          <w:p w:rsidR="0040077E" w:rsidRPr="00381C40" w:rsidRDefault="0040077E">
            <w:pPr>
              <w:pStyle w:val="rrdsinglerule"/>
              <w:spacing w:before="0"/>
              <w:rPr>
                <w:sz w:val="22"/>
                <w:szCs w:val="22"/>
              </w:rPr>
            </w:pPr>
            <w:r w:rsidRPr="00381C40">
              <w:rPr>
                <w:sz w:val="22"/>
                <w:szCs w:val="22"/>
              </w:rPr>
              <w:t> </w:t>
            </w:r>
          </w:p>
        </w:tc>
      </w:tr>
      <w:tr w:rsidR="0040077E" w:rsidRPr="00381C40">
        <w:trPr>
          <w:trHeight w:val="265"/>
          <w:jc w:val="center"/>
        </w:trPr>
        <w:tc>
          <w:tcPr>
            <w:tcW w:w="0" w:type="auto"/>
          </w:tcPr>
          <w:p w:rsidR="0040077E" w:rsidRPr="00381C40" w:rsidRDefault="0040077E">
            <w:pPr>
              <w:pStyle w:val="NormalWeb"/>
              <w:keepNext/>
              <w:rPr>
                <w:sz w:val="22"/>
                <w:szCs w:val="22"/>
              </w:rPr>
            </w:pPr>
            <w:r w:rsidRPr="00381C40">
              <w:rPr>
                <w:sz w:val="22"/>
                <w:szCs w:val="22"/>
              </w:rPr>
              <w:t>Jianhui Lai (2) (3)</w:t>
            </w:r>
          </w:p>
        </w:tc>
        <w:tc>
          <w:tcPr>
            <w:tcW w:w="0" w:type="auto"/>
            <w:noWrap/>
            <w:tcMar>
              <w:top w:w="0" w:type="dxa"/>
              <w:left w:w="144" w:type="dxa"/>
              <w:bottom w:w="0" w:type="dxa"/>
              <w:right w:w="0" w:type="dxa"/>
            </w:tcMar>
          </w:tcPr>
          <w:p w:rsidR="0040077E" w:rsidRPr="00381C40" w:rsidRDefault="003F01AB">
            <w:pPr>
              <w:rPr>
                <w:sz w:val="22"/>
                <w:szCs w:val="22"/>
              </w:rPr>
            </w:pPr>
            <w:r>
              <w:rPr>
                <w:sz w:val="22"/>
                <w:szCs w:val="22"/>
              </w:rPr>
              <w:t>50</w:t>
            </w:r>
          </w:p>
        </w:tc>
        <w:tc>
          <w:tcPr>
            <w:tcW w:w="0" w:type="auto"/>
          </w:tcPr>
          <w:p w:rsidR="0040077E" w:rsidRPr="00381C40" w:rsidRDefault="0040077E">
            <w:pPr>
              <w:ind w:left="107"/>
              <w:rPr>
                <w:sz w:val="22"/>
                <w:szCs w:val="22"/>
              </w:rPr>
            </w:pPr>
            <w:r w:rsidRPr="00381C40">
              <w:rPr>
                <w:sz w:val="22"/>
                <w:szCs w:val="22"/>
              </w:rPr>
              <w:t>Chairman of the board of directors and chief executive officer</w:t>
            </w:r>
          </w:p>
        </w:tc>
      </w:tr>
      <w:tr w:rsidR="0040077E" w:rsidRPr="00381C40">
        <w:trPr>
          <w:trHeight w:val="265"/>
          <w:jc w:val="center"/>
        </w:trPr>
        <w:tc>
          <w:tcPr>
            <w:tcW w:w="0" w:type="auto"/>
          </w:tcPr>
          <w:p w:rsidR="0040077E" w:rsidRPr="00381C40" w:rsidRDefault="0040077E">
            <w:pPr>
              <w:rPr>
                <w:sz w:val="22"/>
                <w:szCs w:val="22"/>
              </w:rPr>
            </w:pPr>
            <w:r w:rsidRPr="00381C40">
              <w:rPr>
                <w:sz w:val="22"/>
                <w:szCs w:val="22"/>
              </w:rPr>
              <w:t>Junqiu Gao (3)</w:t>
            </w:r>
          </w:p>
        </w:tc>
        <w:tc>
          <w:tcPr>
            <w:tcW w:w="0" w:type="auto"/>
            <w:noWrap/>
            <w:tcMar>
              <w:top w:w="0" w:type="dxa"/>
              <w:left w:w="144" w:type="dxa"/>
              <w:bottom w:w="0" w:type="dxa"/>
              <w:right w:w="0" w:type="dxa"/>
            </w:tcMar>
          </w:tcPr>
          <w:p w:rsidR="0040077E" w:rsidRPr="00381C40" w:rsidRDefault="001F7DC1">
            <w:pPr>
              <w:rPr>
                <w:sz w:val="22"/>
                <w:szCs w:val="22"/>
              </w:rPr>
            </w:pPr>
            <w:r>
              <w:rPr>
                <w:sz w:val="22"/>
                <w:szCs w:val="22"/>
              </w:rPr>
              <w:t>4</w:t>
            </w:r>
            <w:r w:rsidR="003F01AB">
              <w:rPr>
                <w:sz w:val="22"/>
                <w:szCs w:val="22"/>
              </w:rPr>
              <w:t>9</w:t>
            </w:r>
          </w:p>
        </w:tc>
        <w:tc>
          <w:tcPr>
            <w:tcW w:w="0" w:type="auto"/>
          </w:tcPr>
          <w:p w:rsidR="0040077E" w:rsidRPr="00381C40" w:rsidRDefault="0040077E">
            <w:pPr>
              <w:ind w:left="107"/>
              <w:rPr>
                <w:sz w:val="22"/>
                <w:szCs w:val="22"/>
              </w:rPr>
            </w:pPr>
            <w:r w:rsidRPr="00381C40">
              <w:rPr>
                <w:sz w:val="22"/>
                <w:szCs w:val="22"/>
              </w:rPr>
              <w:t>Director, deputy chief executive officer and chief sales and marketing officer</w:t>
            </w:r>
          </w:p>
        </w:tc>
      </w:tr>
      <w:tr w:rsidR="0040077E" w:rsidRPr="00381C40">
        <w:trPr>
          <w:trHeight w:val="265"/>
          <w:jc w:val="center"/>
        </w:trPr>
        <w:tc>
          <w:tcPr>
            <w:tcW w:w="0" w:type="auto"/>
          </w:tcPr>
          <w:p w:rsidR="0040077E" w:rsidRPr="00381C40" w:rsidRDefault="0040077E">
            <w:pPr>
              <w:rPr>
                <w:sz w:val="22"/>
                <w:szCs w:val="22"/>
              </w:rPr>
            </w:pPr>
            <w:r w:rsidRPr="00381C40">
              <w:rPr>
                <w:sz w:val="22"/>
                <w:szCs w:val="22"/>
              </w:rPr>
              <w:t>William John Sharp (1) (2) (3)</w:t>
            </w:r>
          </w:p>
        </w:tc>
        <w:tc>
          <w:tcPr>
            <w:tcW w:w="0" w:type="auto"/>
            <w:noWrap/>
            <w:tcMar>
              <w:top w:w="0" w:type="dxa"/>
              <w:left w:w="144" w:type="dxa"/>
              <w:bottom w:w="0" w:type="dxa"/>
              <w:right w:w="0" w:type="dxa"/>
            </w:tcMar>
          </w:tcPr>
          <w:p w:rsidR="0040077E" w:rsidRPr="00381C40" w:rsidRDefault="001F7DC1">
            <w:pPr>
              <w:rPr>
                <w:sz w:val="22"/>
                <w:szCs w:val="22"/>
              </w:rPr>
            </w:pPr>
            <w:r>
              <w:rPr>
                <w:sz w:val="22"/>
                <w:szCs w:val="22"/>
              </w:rPr>
              <w:t>7</w:t>
            </w:r>
            <w:r w:rsidR="003F01AB">
              <w:rPr>
                <w:sz w:val="22"/>
                <w:szCs w:val="22"/>
              </w:rPr>
              <w:t>4</w:t>
            </w:r>
          </w:p>
        </w:tc>
        <w:tc>
          <w:tcPr>
            <w:tcW w:w="0" w:type="auto"/>
          </w:tcPr>
          <w:p w:rsidR="0040077E" w:rsidRPr="00381C40" w:rsidRDefault="0040077E">
            <w:pPr>
              <w:ind w:left="107"/>
              <w:rPr>
                <w:sz w:val="22"/>
                <w:szCs w:val="22"/>
              </w:rPr>
            </w:pPr>
            <w:r w:rsidRPr="00381C40">
              <w:rPr>
                <w:sz w:val="22"/>
                <w:szCs w:val="22"/>
              </w:rPr>
              <w:t>Independent director</w:t>
            </w:r>
          </w:p>
        </w:tc>
      </w:tr>
      <w:tr w:rsidR="0040077E" w:rsidRPr="00381C40">
        <w:trPr>
          <w:trHeight w:val="282"/>
          <w:jc w:val="center"/>
        </w:trPr>
        <w:tc>
          <w:tcPr>
            <w:tcW w:w="0" w:type="auto"/>
          </w:tcPr>
          <w:p w:rsidR="0040077E" w:rsidRPr="00381C40" w:rsidRDefault="00D72498">
            <w:pPr>
              <w:rPr>
                <w:sz w:val="22"/>
                <w:szCs w:val="22"/>
              </w:rPr>
            </w:pPr>
            <w:proofErr w:type="spellStart"/>
            <w:r>
              <w:rPr>
                <w:sz w:val="22"/>
                <w:szCs w:val="22"/>
              </w:rPr>
              <w:t>Yichun</w:t>
            </w:r>
            <w:proofErr w:type="spellEnd"/>
            <w:r w:rsidR="001F7DC1">
              <w:rPr>
                <w:sz w:val="22"/>
                <w:szCs w:val="22"/>
              </w:rPr>
              <w:t xml:space="preserve"> Zhang</w:t>
            </w:r>
            <w:r w:rsidR="0040077E" w:rsidRPr="00381C40">
              <w:rPr>
                <w:sz w:val="22"/>
                <w:szCs w:val="22"/>
              </w:rPr>
              <w:t xml:space="preserve"> (1)</w:t>
            </w:r>
            <w:r>
              <w:rPr>
                <w:sz w:val="22"/>
                <w:szCs w:val="22"/>
              </w:rPr>
              <w:t xml:space="preserve"> (2</w:t>
            </w:r>
            <w:r>
              <w:rPr>
                <w:rFonts w:hint="eastAsia"/>
                <w:sz w:val="22"/>
                <w:szCs w:val="22"/>
              </w:rPr>
              <w:t>)</w:t>
            </w:r>
          </w:p>
        </w:tc>
        <w:tc>
          <w:tcPr>
            <w:tcW w:w="0" w:type="auto"/>
            <w:noWrap/>
            <w:tcMar>
              <w:top w:w="0" w:type="dxa"/>
              <w:left w:w="144" w:type="dxa"/>
              <w:bottom w:w="0" w:type="dxa"/>
              <w:right w:w="0" w:type="dxa"/>
            </w:tcMar>
          </w:tcPr>
          <w:p w:rsidR="0040077E" w:rsidRPr="00381C40" w:rsidRDefault="00D72498">
            <w:pPr>
              <w:rPr>
                <w:sz w:val="22"/>
                <w:szCs w:val="22"/>
              </w:rPr>
            </w:pPr>
            <w:r>
              <w:rPr>
                <w:rFonts w:hint="eastAsia"/>
                <w:sz w:val="22"/>
                <w:szCs w:val="22"/>
              </w:rPr>
              <w:t>8</w:t>
            </w:r>
            <w:r w:rsidR="003F01AB">
              <w:rPr>
                <w:sz w:val="22"/>
                <w:szCs w:val="22"/>
              </w:rPr>
              <w:t>2</w:t>
            </w:r>
          </w:p>
        </w:tc>
        <w:tc>
          <w:tcPr>
            <w:tcW w:w="0" w:type="auto"/>
          </w:tcPr>
          <w:p w:rsidR="0040077E" w:rsidRPr="00381C40" w:rsidRDefault="0040077E">
            <w:pPr>
              <w:ind w:left="107"/>
              <w:rPr>
                <w:sz w:val="22"/>
                <w:szCs w:val="22"/>
              </w:rPr>
            </w:pPr>
            <w:r w:rsidRPr="00381C40">
              <w:rPr>
                <w:sz w:val="22"/>
                <w:szCs w:val="22"/>
              </w:rPr>
              <w:t>Independent director</w:t>
            </w:r>
          </w:p>
        </w:tc>
      </w:tr>
      <w:tr w:rsidR="0040077E" w:rsidRPr="00381C40">
        <w:trPr>
          <w:trHeight w:val="265"/>
          <w:jc w:val="center"/>
        </w:trPr>
        <w:tc>
          <w:tcPr>
            <w:tcW w:w="0" w:type="auto"/>
          </w:tcPr>
          <w:p w:rsidR="0040077E" w:rsidRPr="00381C40" w:rsidRDefault="00D72498">
            <w:pPr>
              <w:rPr>
                <w:sz w:val="22"/>
                <w:szCs w:val="22"/>
              </w:rPr>
            </w:pPr>
            <w:proofErr w:type="spellStart"/>
            <w:r>
              <w:rPr>
                <w:sz w:val="22"/>
                <w:szCs w:val="22"/>
              </w:rPr>
              <w:t>Xiandai</w:t>
            </w:r>
            <w:proofErr w:type="spellEnd"/>
            <w:r>
              <w:rPr>
                <w:sz w:val="22"/>
                <w:szCs w:val="22"/>
              </w:rPr>
              <w:t xml:space="preserve"> Zhang (1) </w:t>
            </w:r>
          </w:p>
        </w:tc>
        <w:tc>
          <w:tcPr>
            <w:tcW w:w="0" w:type="auto"/>
            <w:noWrap/>
            <w:tcMar>
              <w:top w:w="0" w:type="dxa"/>
              <w:left w:w="144" w:type="dxa"/>
              <w:bottom w:w="0" w:type="dxa"/>
              <w:right w:w="0" w:type="dxa"/>
            </w:tcMar>
          </w:tcPr>
          <w:p w:rsidR="0040077E" w:rsidRPr="00381C40" w:rsidRDefault="00D72498">
            <w:pPr>
              <w:rPr>
                <w:sz w:val="22"/>
                <w:szCs w:val="22"/>
              </w:rPr>
            </w:pPr>
            <w:r>
              <w:rPr>
                <w:sz w:val="22"/>
                <w:szCs w:val="22"/>
              </w:rPr>
              <w:t>4</w:t>
            </w:r>
            <w:r w:rsidR="003F01AB">
              <w:rPr>
                <w:sz w:val="22"/>
                <w:szCs w:val="22"/>
              </w:rPr>
              <w:t>7</w:t>
            </w:r>
          </w:p>
        </w:tc>
        <w:tc>
          <w:tcPr>
            <w:tcW w:w="0" w:type="auto"/>
          </w:tcPr>
          <w:p w:rsidR="0040077E" w:rsidRPr="00381C40" w:rsidRDefault="0040077E">
            <w:pPr>
              <w:ind w:left="107"/>
              <w:rPr>
                <w:sz w:val="22"/>
                <w:szCs w:val="22"/>
              </w:rPr>
            </w:pPr>
            <w:r w:rsidRPr="00381C40">
              <w:rPr>
                <w:sz w:val="22"/>
                <w:szCs w:val="22"/>
              </w:rPr>
              <w:t>Independent director</w:t>
            </w:r>
          </w:p>
        </w:tc>
      </w:tr>
      <w:tr w:rsidR="0040077E" w:rsidRPr="00381C40">
        <w:trPr>
          <w:trHeight w:val="80"/>
          <w:jc w:val="center"/>
        </w:trPr>
        <w:tc>
          <w:tcPr>
            <w:tcW w:w="0" w:type="auto"/>
          </w:tcPr>
          <w:p w:rsidR="0040077E" w:rsidRPr="00381C40" w:rsidRDefault="0040077E">
            <w:pPr>
              <w:rPr>
                <w:sz w:val="22"/>
                <w:szCs w:val="22"/>
              </w:rPr>
            </w:pPr>
          </w:p>
        </w:tc>
        <w:tc>
          <w:tcPr>
            <w:tcW w:w="0" w:type="auto"/>
            <w:noWrap/>
            <w:tcMar>
              <w:top w:w="0" w:type="dxa"/>
              <w:left w:w="144" w:type="dxa"/>
              <w:bottom w:w="0" w:type="dxa"/>
              <w:right w:w="0" w:type="dxa"/>
            </w:tcMar>
          </w:tcPr>
          <w:p w:rsidR="0040077E" w:rsidRPr="00381C40" w:rsidRDefault="0040077E">
            <w:pPr>
              <w:rPr>
                <w:sz w:val="22"/>
                <w:szCs w:val="22"/>
              </w:rPr>
            </w:pPr>
          </w:p>
        </w:tc>
        <w:tc>
          <w:tcPr>
            <w:tcW w:w="0" w:type="auto"/>
          </w:tcPr>
          <w:p w:rsidR="0040077E" w:rsidRPr="00381C40" w:rsidRDefault="0040077E">
            <w:pPr>
              <w:ind w:left="107"/>
              <w:rPr>
                <w:sz w:val="22"/>
                <w:szCs w:val="22"/>
              </w:rPr>
            </w:pPr>
          </w:p>
        </w:tc>
      </w:tr>
      <w:tr w:rsidR="0040077E" w:rsidRPr="00381C40">
        <w:trPr>
          <w:trHeight w:val="282"/>
          <w:jc w:val="center"/>
        </w:trPr>
        <w:tc>
          <w:tcPr>
            <w:tcW w:w="0" w:type="auto"/>
          </w:tcPr>
          <w:p w:rsidR="0040077E" w:rsidRPr="00381C40" w:rsidRDefault="0040077E">
            <w:pPr>
              <w:rPr>
                <w:sz w:val="22"/>
                <w:szCs w:val="22"/>
              </w:rPr>
            </w:pPr>
          </w:p>
        </w:tc>
        <w:tc>
          <w:tcPr>
            <w:tcW w:w="0" w:type="auto"/>
            <w:noWrap/>
            <w:tcMar>
              <w:top w:w="0" w:type="dxa"/>
              <w:left w:w="144" w:type="dxa"/>
              <w:bottom w:w="0" w:type="dxa"/>
              <w:right w:w="0" w:type="dxa"/>
            </w:tcMar>
          </w:tcPr>
          <w:p w:rsidR="0040077E" w:rsidRPr="00381C40" w:rsidRDefault="0040077E">
            <w:pPr>
              <w:rPr>
                <w:sz w:val="22"/>
                <w:szCs w:val="22"/>
              </w:rPr>
            </w:pPr>
          </w:p>
        </w:tc>
        <w:tc>
          <w:tcPr>
            <w:tcW w:w="0" w:type="auto"/>
          </w:tcPr>
          <w:p w:rsidR="0040077E" w:rsidRPr="00381C40" w:rsidRDefault="0040077E">
            <w:pPr>
              <w:ind w:left="107"/>
              <w:rPr>
                <w:sz w:val="22"/>
                <w:szCs w:val="22"/>
              </w:rPr>
            </w:pPr>
          </w:p>
        </w:tc>
      </w:tr>
      <w:tr w:rsidR="0040077E" w:rsidRPr="00381C40">
        <w:trPr>
          <w:trHeight w:val="282"/>
          <w:jc w:val="center"/>
        </w:trPr>
        <w:tc>
          <w:tcPr>
            <w:tcW w:w="0" w:type="auto"/>
          </w:tcPr>
          <w:p w:rsidR="0040077E" w:rsidRPr="00381C40" w:rsidRDefault="0040077E">
            <w:pPr>
              <w:pStyle w:val="NormalWeb"/>
              <w:keepNext/>
              <w:rPr>
                <w:sz w:val="22"/>
                <w:szCs w:val="22"/>
              </w:rPr>
            </w:pPr>
          </w:p>
        </w:tc>
        <w:tc>
          <w:tcPr>
            <w:tcW w:w="0" w:type="auto"/>
            <w:noWrap/>
            <w:tcMar>
              <w:top w:w="0" w:type="dxa"/>
              <w:left w:w="144" w:type="dxa"/>
              <w:bottom w:w="0" w:type="dxa"/>
              <w:right w:w="0" w:type="dxa"/>
            </w:tcMar>
          </w:tcPr>
          <w:p w:rsidR="0040077E" w:rsidRPr="00381C40" w:rsidRDefault="0040077E">
            <w:pPr>
              <w:rPr>
                <w:sz w:val="22"/>
                <w:szCs w:val="22"/>
              </w:rPr>
            </w:pPr>
          </w:p>
        </w:tc>
        <w:tc>
          <w:tcPr>
            <w:tcW w:w="0" w:type="auto"/>
          </w:tcPr>
          <w:p w:rsidR="0040077E" w:rsidRPr="00381C40" w:rsidRDefault="0040077E">
            <w:pPr>
              <w:ind w:left="107"/>
              <w:rPr>
                <w:sz w:val="22"/>
                <w:szCs w:val="22"/>
              </w:rPr>
            </w:pPr>
          </w:p>
        </w:tc>
      </w:tr>
      <w:tr w:rsidR="0040077E" w:rsidRPr="00381C40">
        <w:trPr>
          <w:trHeight w:val="282"/>
          <w:jc w:val="center"/>
        </w:trPr>
        <w:tc>
          <w:tcPr>
            <w:tcW w:w="0" w:type="auto"/>
          </w:tcPr>
          <w:p w:rsidR="0040077E" w:rsidRPr="00381C40" w:rsidRDefault="0040077E">
            <w:pPr>
              <w:pStyle w:val="NormalWeb"/>
              <w:keepNext/>
              <w:rPr>
                <w:sz w:val="22"/>
                <w:szCs w:val="22"/>
              </w:rPr>
            </w:pPr>
          </w:p>
        </w:tc>
        <w:tc>
          <w:tcPr>
            <w:tcW w:w="0" w:type="auto"/>
            <w:noWrap/>
            <w:tcMar>
              <w:top w:w="0" w:type="dxa"/>
              <w:left w:w="144" w:type="dxa"/>
              <w:bottom w:w="0" w:type="dxa"/>
              <w:right w:w="0" w:type="dxa"/>
            </w:tcMar>
          </w:tcPr>
          <w:p w:rsidR="0040077E" w:rsidRPr="00381C40" w:rsidRDefault="0040077E">
            <w:pPr>
              <w:rPr>
                <w:sz w:val="22"/>
                <w:szCs w:val="22"/>
              </w:rPr>
            </w:pPr>
          </w:p>
        </w:tc>
        <w:tc>
          <w:tcPr>
            <w:tcW w:w="0" w:type="auto"/>
          </w:tcPr>
          <w:p w:rsidR="0040077E" w:rsidRPr="00381C40" w:rsidRDefault="0040077E">
            <w:pPr>
              <w:ind w:left="107"/>
              <w:rPr>
                <w:sz w:val="22"/>
                <w:szCs w:val="22"/>
              </w:rPr>
            </w:pPr>
          </w:p>
        </w:tc>
      </w:tr>
      <w:tr w:rsidR="0040077E" w:rsidRPr="00381C40">
        <w:trPr>
          <w:trHeight w:val="282"/>
          <w:jc w:val="center"/>
        </w:trPr>
        <w:tc>
          <w:tcPr>
            <w:tcW w:w="0" w:type="auto"/>
          </w:tcPr>
          <w:p w:rsidR="0040077E" w:rsidRPr="00381C40" w:rsidRDefault="0040077E">
            <w:pPr>
              <w:rPr>
                <w:sz w:val="22"/>
                <w:szCs w:val="22"/>
              </w:rPr>
            </w:pPr>
            <w:r w:rsidRPr="00381C40">
              <w:rPr>
                <w:sz w:val="22"/>
                <w:szCs w:val="22"/>
              </w:rPr>
              <w:t>______________________________________________</w:t>
            </w:r>
          </w:p>
        </w:tc>
        <w:tc>
          <w:tcPr>
            <w:tcW w:w="0" w:type="auto"/>
            <w:noWrap/>
            <w:tcMar>
              <w:top w:w="0" w:type="dxa"/>
              <w:left w:w="144" w:type="dxa"/>
              <w:bottom w:w="0" w:type="dxa"/>
              <w:right w:w="0" w:type="dxa"/>
            </w:tcMar>
            <w:vAlign w:val="bottom"/>
          </w:tcPr>
          <w:p w:rsidR="0040077E" w:rsidRPr="00381C40" w:rsidRDefault="0040077E">
            <w:pPr>
              <w:rPr>
                <w:sz w:val="22"/>
                <w:szCs w:val="22"/>
              </w:rPr>
            </w:pPr>
          </w:p>
        </w:tc>
        <w:tc>
          <w:tcPr>
            <w:tcW w:w="0" w:type="auto"/>
            <w:vAlign w:val="bottom"/>
          </w:tcPr>
          <w:p w:rsidR="0040077E" w:rsidRPr="00381C40" w:rsidRDefault="0040077E">
            <w:pPr>
              <w:ind w:left="107"/>
              <w:rPr>
                <w:sz w:val="22"/>
                <w:szCs w:val="22"/>
              </w:rPr>
            </w:pPr>
          </w:p>
        </w:tc>
      </w:tr>
    </w:tbl>
    <w:p w:rsidR="0040077E" w:rsidRDefault="0040077E">
      <w:pPr>
        <w:jc w:val="both"/>
        <w:rPr>
          <w:sz w:val="22"/>
          <w:szCs w:val="22"/>
        </w:rPr>
      </w:pPr>
    </w:p>
    <w:p w:rsidR="0040077E" w:rsidRDefault="0040077E">
      <w:pPr>
        <w:jc w:val="both"/>
        <w:rPr>
          <w:sz w:val="22"/>
          <w:szCs w:val="22"/>
        </w:rPr>
      </w:pPr>
      <w:r>
        <w:rPr>
          <w:sz w:val="22"/>
          <w:szCs w:val="22"/>
        </w:rPr>
        <w:t>(1)</w:t>
      </w:r>
      <w:r>
        <w:rPr>
          <w:sz w:val="22"/>
          <w:szCs w:val="22"/>
        </w:rPr>
        <w:tab/>
        <w:t>Member of the audit committee.</w:t>
      </w:r>
    </w:p>
    <w:p w:rsidR="0040077E" w:rsidRDefault="0040077E">
      <w:pPr>
        <w:jc w:val="both"/>
        <w:rPr>
          <w:sz w:val="22"/>
          <w:szCs w:val="22"/>
        </w:rPr>
      </w:pPr>
      <w:r>
        <w:rPr>
          <w:sz w:val="22"/>
          <w:szCs w:val="22"/>
        </w:rPr>
        <w:t>(2)</w:t>
      </w:r>
      <w:r>
        <w:rPr>
          <w:sz w:val="22"/>
          <w:szCs w:val="22"/>
        </w:rPr>
        <w:tab/>
        <w:t>Member of the compensation committee.</w:t>
      </w:r>
    </w:p>
    <w:p w:rsidR="0040077E" w:rsidRDefault="0040077E">
      <w:pPr>
        <w:jc w:val="both"/>
        <w:rPr>
          <w:sz w:val="22"/>
          <w:szCs w:val="22"/>
        </w:rPr>
      </w:pPr>
      <w:r>
        <w:rPr>
          <w:sz w:val="22"/>
          <w:szCs w:val="22"/>
        </w:rPr>
        <w:t>(3)</w:t>
      </w:r>
      <w:r>
        <w:rPr>
          <w:sz w:val="22"/>
          <w:szCs w:val="22"/>
        </w:rPr>
        <w:tab/>
        <w:t>Member of the nominating and corporate governance committee.</w:t>
      </w:r>
    </w:p>
    <w:tbl>
      <w:tblPr>
        <w:tblW w:w="5000" w:type="pct"/>
        <w:tblCellSpacing w:w="0" w:type="dxa"/>
        <w:tblCellMar>
          <w:left w:w="0" w:type="dxa"/>
          <w:right w:w="0" w:type="dxa"/>
        </w:tblCellMar>
        <w:tblLook w:val="0000" w:firstRow="0" w:lastRow="0" w:firstColumn="0" w:lastColumn="0" w:noHBand="0" w:noVBand="0"/>
      </w:tblPr>
      <w:tblGrid>
        <w:gridCol w:w="1980"/>
        <w:gridCol w:w="180"/>
        <w:gridCol w:w="1078"/>
        <w:gridCol w:w="180"/>
        <w:gridCol w:w="5942"/>
      </w:tblGrid>
      <w:tr w:rsidR="0040077E" w:rsidRPr="00381C40">
        <w:trPr>
          <w:tblCellSpacing w:w="0" w:type="dxa"/>
        </w:trPr>
        <w:tc>
          <w:tcPr>
            <w:tcW w:w="1058" w:type="pct"/>
            <w:vAlign w:val="center"/>
          </w:tcPr>
          <w:p w:rsidR="0040077E" w:rsidRPr="00381C40" w:rsidRDefault="0040077E">
            <w:pPr>
              <w:jc w:val="both"/>
              <w:rPr>
                <w:sz w:val="22"/>
                <w:szCs w:val="22"/>
              </w:rPr>
            </w:pPr>
          </w:p>
        </w:tc>
        <w:tc>
          <w:tcPr>
            <w:tcW w:w="96" w:type="pct"/>
            <w:vAlign w:val="bottom"/>
          </w:tcPr>
          <w:p w:rsidR="0040077E" w:rsidRPr="00381C40" w:rsidRDefault="0040077E">
            <w:pPr>
              <w:jc w:val="both"/>
              <w:rPr>
                <w:sz w:val="22"/>
                <w:szCs w:val="22"/>
              </w:rPr>
            </w:pPr>
          </w:p>
        </w:tc>
        <w:tc>
          <w:tcPr>
            <w:tcW w:w="576" w:type="pct"/>
            <w:vAlign w:val="center"/>
          </w:tcPr>
          <w:p w:rsidR="0040077E" w:rsidRPr="00381C40" w:rsidRDefault="0040077E">
            <w:pPr>
              <w:jc w:val="both"/>
              <w:rPr>
                <w:sz w:val="22"/>
                <w:szCs w:val="22"/>
              </w:rPr>
            </w:pPr>
          </w:p>
        </w:tc>
        <w:tc>
          <w:tcPr>
            <w:tcW w:w="96" w:type="pct"/>
            <w:vAlign w:val="bottom"/>
          </w:tcPr>
          <w:p w:rsidR="0040077E" w:rsidRPr="00381C40" w:rsidRDefault="0040077E">
            <w:pPr>
              <w:jc w:val="both"/>
              <w:rPr>
                <w:sz w:val="22"/>
                <w:szCs w:val="22"/>
              </w:rPr>
            </w:pPr>
          </w:p>
        </w:tc>
        <w:tc>
          <w:tcPr>
            <w:tcW w:w="3174" w:type="pct"/>
            <w:vAlign w:val="center"/>
          </w:tcPr>
          <w:p w:rsidR="0040077E" w:rsidRPr="00381C40" w:rsidRDefault="0040077E">
            <w:pPr>
              <w:jc w:val="both"/>
              <w:rPr>
                <w:sz w:val="22"/>
                <w:szCs w:val="22"/>
              </w:rPr>
            </w:pPr>
          </w:p>
        </w:tc>
      </w:tr>
    </w:tbl>
    <w:p w:rsidR="0040077E" w:rsidRDefault="0040077E">
      <w:pPr>
        <w:ind w:firstLine="490"/>
        <w:jc w:val="both"/>
        <w:rPr>
          <w:sz w:val="22"/>
          <w:szCs w:val="22"/>
        </w:rPr>
      </w:pPr>
      <w:r>
        <w:rPr>
          <w:i/>
          <w:iCs/>
          <w:sz w:val="22"/>
          <w:szCs w:val="22"/>
          <w:u w:val="single"/>
        </w:rPr>
        <w:t>Directors Nominated for Election at the Annual General Meeting</w:t>
      </w:r>
      <w:r>
        <w:rPr>
          <w:sz w:val="22"/>
          <w:szCs w:val="22"/>
        </w:rPr>
        <w:t xml:space="preserve"> </w:t>
      </w:r>
    </w:p>
    <w:p w:rsidR="0040077E" w:rsidRDefault="0040077E">
      <w:pPr>
        <w:ind w:firstLine="490"/>
        <w:jc w:val="both"/>
        <w:rPr>
          <w:sz w:val="22"/>
          <w:szCs w:val="22"/>
        </w:rPr>
      </w:pPr>
    </w:p>
    <w:p w:rsidR="0040077E" w:rsidRDefault="0040077E">
      <w:pPr>
        <w:ind w:firstLine="540"/>
        <w:jc w:val="both"/>
        <w:rPr>
          <w:sz w:val="22"/>
          <w:szCs w:val="22"/>
          <w:lang w:eastAsia="zh-CN"/>
        </w:rPr>
      </w:pPr>
      <w:r>
        <w:rPr>
          <w:i/>
          <w:iCs/>
          <w:sz w:val="22"/>
          <w:szCs w:val="22"/>
          <w:lang w:eastAsia="zh-CN"/>
        </w:rPr>
        <w:t>Mr. Jianhui Lai</w:t>
      </w:r>
      <w:r>
        <w:rPr>
          <w:sz w:val="22"/>
          <w:szCs w:val="22"/>
          <w:lang w:eastAsia="zh-CN"/>
        </w:rPr>
        <w:t xml:space="preserve"> is our founder, chairman of our board of directors and chief executive officer. Mr. Lai has over 20 years of experience in the commercial vehicle wheel industry in the PRC, particularly in managing vehicle wheel businesses. Prior to founding us in 2003, Mr. Lai was factory manager of Zhangzhou Xiangcheng Zhengxing Automobile Wheel Factory from 1996 to 2003, factory manager of Fujian Pinghe Guanxi Automobile Wheel Factory from 1993 to 1996, and factory manager of Pinghe Automobile Tire and Bicycle Repair Depot from 1988 to 1993. Mr. Lai was awarded The Outstanding Private Entrepreneur in the PRC in 2004 and The Outstanding Individual of the PRC Automotive Industry in 2008, in recognition of his business achievements and stature in the industry. Mr. Lai is also the founder of two schools (providing primary school to high school education) in the PRC, namely Pinghe Zhengxing School and Zhangzhou Zhengxing School. </w:t>
      </w:r>
    </w:p>
    <w:p w:rsidR="0040077E" w:rsidRDefault="0040077E">
      <w:pPr>
        <w:ind w:firstLine="540"/>
        <w:jc w:val="both"/>
        <w:rPr>
          <w:sz w:val="22"/>
          <w:szCs w:val="22"/>
          <w:lang w:eastAsia="zh-CN"/>
        </w:rPr>
      </w:pPr>
    </w:p>
    <w:p w:rsidR="0040077E" w:rsidRDefault="0040077E">
      <w:pPr>
        <w:ind w:firstLine="540"/>
        <w:jc w:val="both"/>
        <w:rPr>
          <w:sz w:val="22"/>
          <w:szCs w:val="22"/>
          <w:lang w:eastAsia="zh-CN"/>
        </w:rPr>
      </w:pPr>
      <w:r>
        <w:rPr>
          <w:i/>
          <w:iCs/>
          <w:sz w:val="22"/>
          <w:szCs w:val="22"/>
          <w:lang w:eastAsia="zh-CN"/>
        </w:rPr>
        <w:lastRenderedPageBreak/>
        <w:t xml:space="preserve">Mr. Junqiu </w:t>
      </w:r>
      <w:proofErr w:type="gramStart"/>
      <w:r>
        <w:rPr>
          <w:i/>
          <w:iCs/>
          <w:sz w:val="22"/>
          <w:szCs w:val="22"/>
          <w:lang w:eastAsia="zh-CN"/>
        </w:rPr>
        <w:t>Gao</w:t>
      </w:r>
      <w:proofErr w:type="gramEnd"/>
      <w:r>
        <w:rPr>
          <w:sz w:val="22"/>
          <w:szCs w:val="22"/>
          <w:lang w:eastAsia="zh-CN"/>
        </w:rPr>
        <w:t xml:space="preserve"> has served as our director since February 2009, and as our deputy chief executive officer and chief sales and marketing officer since June 2008. Mr. </w:t>
      </w:r>
      <w:proofErr w:type="gramStart"/>
      <w:r>
        <w:rPr>
          <w:sz w:val="22"/>
          <w:szCs w:val="22"/>
          <w:lang w:eastAsia="zh-CN"/>
        </w:rPr>
        <w:t>Gao</w:t>
      </w:r>
      <w:proofErr w:type="gramEnd"/>
      <w:r>
        <w:rPr>
          <w:sz w:val="22"/>
          <w:szCs w:val="22"/>
          <w:lang w:eastAsia="zh-CN"/>
        </w:rPr>
        <w:t xml:space="preserve"> also served as our marketing and sales manager from 2004 to 2008. Mr. </w:t>
      </w:r>
      <w:proofErr w:type="gramStart"/>
      <w:r>
        <w:rPr>
          <w:sz w:val="22"/>
          <w:szCs w:val="22"/>
          <w:lang w:eastAsia="zh-CN"/>
        </w:rPr>
        <w:t>Gao</w:t>
      </w:r>
      <w:proofErr w:type="gramEnd"/>
      <w:r>
        <w:rPr>
          <w:sz w:val="22"/>
          <w:szCs w:val="22"/>
          <w:lang w:eastAsia="zh-CN"/>
        </w:rPr>
        <w:t xml:space="preserve"> has over 20 years of marketing and sales and management experience in the commercial vehicle wheel and machinery industry in the PRC. Prior to joining us in 2004, Mr. </w:t>
      </w:r>
      <w:proofErr w:type="gramStart"/>
      <w:r>
        <w:rPr>
          <w:sz w:val="22"/>
          <w:szCs w:val="22"/>
          <w:lang w:eastAsia="zh-CN"/>
        </w:rPr>
        <w:t>Gao</w:t>
      </w:r>
      <w:proofErr w:type="gramEnd"/>
      <w:r>
        <w:rPr>
          <w:sz w:val="22"/>
          <w:szCs w:val="22"/>
          <w:lang w:eastAsia="zh-CN"/>
        </w:rPr>
        <w:t xml:space="preserve"> was head of the marketing and sales department of Zhangzhou Xiangcheng Zhengxing Automobile Wheel Factory from 1999 to 2004 and was a regional product sales manager of Xuzhou Press System Company Limited from 1993 to 1999. Mr. </w:t>
      </w:r>
      <w:proofErr w:type="gramStart"/>
      <w:r>
        <w:rPr>
          <w:sz w:val="22"/>
          <w:szCs w:val="22"/>
          <w:lang w:eastAsia="zh-CN"/>
        </w:rPr>
        <w:t>Gao</w:t>
      </w:r>
      <w:proofErr w:type="gramEnd"/>
      <w:r>
        <w:rPr>
          <w:sz w:val="22"/>
          <w:szCs w:val="22"/>
          <w:lang w:eastAsia="zh-CN"/>
        </w:rPr>
        <w:t xml:space="preserve"> also served as an electrical design technician and product after-sales engineer of Xuzhou Press System Company Limited from 1990 to 1993. Mr. </w:t>
      </w:r>
      <w:proofErr w:type="gramStart"/>
      <w:r>
        <w:rPr>
          <w:sz w:val="22"/>
          <w:szCs w:val="22"/>
          <w:lang w:eastAsia="zh-CN"/>
        </w:rPr>
        <w:t>Gao</w:t>
      </w:r>
      <w:proofErr w:type="gramEnd"/>
      <w:r>
        <w:rPr>
          <w:sz w:val="22"/>
          <w:szCs w:val="22"/>
          <w:lang w:eastAsia="zh-CN"/>
        </w:rPr>
        <w:t xml:space="preserve"> is a senior engineer and received his bachelor’s degree in industrial electrical automation from Hefei University of Technology in 1990. </w:t>
      </w:r>
    </w:p>
    <w:p w:rsidR="0040077E" w:rsidRDefault="0040077E">
      <w:pPr>
        <w:ind w:firstLine="540"/>
        <w:jc w:val="both"/>
        <w:rPr>
          <w:sz w:val="22"/>
          <w:szCs w:val="22"/>
          <w:lang w:eastAsia="zh-CN"/>
        </w:rPr>
      </w:pPr>
    </w:p>
    <w:p w:rsidR="0040077E" w:rsidRDefault="0040077E">
      <w:pPr>
        <w:ind w:firstLine="540"/>
        <w:jc w:val="both"/>
        <w:rPr>
          <w:sz w:val="22"/>
          <w:szCs w:val="22"/>
          <w:lang w:eastAsia="zh-CN"/>
        </w:rPr>
      </w:pPr>
      <w:r>
        <w:rPr>
          <w:i/>
          <w:iCs/>
          <w:sz w:val="22"/>
          <w:szCs w:val="22"/>
          <w:lang w:eastAsia="zh-CN"/>
        </w:rPr>
        <w:t>Mr. William John Sharp</w:t>
      </w:r>
      <w:r>
        <w:rPr>
          <w:sz w:val="22"/>
          <w:szCs w:val="22"/>
          <w:lang w:eastAsia="zh-CN"/>
        </w:rPr>
        <w:t xml:space="preserve"> has served as our independent director since May 2011. Mr. Sharp has over 40 years of experience in the tire manufacturing industry. Since 2001, Mr. Sharp has served as president of Global Industrial Consulting, a consulting firm. Since 2005, Mr. Sharp has been a director of Xingda International Holdings Limited, a Hong Kong Stock Exchange listed company which manufactures components for radial tires where he serves as chairman of the compensation committee and a member of the audit committee. Since 2008, Mr. Sharp has been a director of Acquity Group LLC, a multi-channel commerce and digital marketing company where he serves as a member of the audit and compensation committees.  </w:t>
      </w:r>
      <w:bookmarkStart w:id="1" w:name="_cp_text_1_6"/>
      <w:bookmarkStart w:id="2" w:name="_cp_text_4_7"/>
      <w:bookmarkStart w:id="3" w:name="_cp_text_1_8"/>
      <w:r>
        <w:rPr>
          <w:sz w:val="22"/>
          <w:szCs w:val="22"/>
          <w:lang w:eastAsia="zh-CN"/>
        </w:rPr>
        <w:t xml:space="preserve">From 1998 to 2012, Mr. Sharp was </w:t>
      </w:r>
      <w:bookmarkEnd w:id="1"/>
      <w:r>
        <w:rPr>
          <w:sz w:val="22"/>
          <w:szCs w:val="22"/>
          <w:lang w:eastAsia="zh-CN"/>
        </w:rPr>
        <w:t xml:space="preserve">a director of Ferro Corporation, a New York Stock Exchange listed company that produces performance materials, where he </w:t>
      </w:r>
      <w:bookmarkEnd w:id="2"/>
      <w:r>
        <w:rPr>
          <w:sz w:val="22"/>
          <w:szCs w:val="22"/>
          <w:lang w:eastAsia="zh-CN"/>
        </w:rPr>
        <w:t>served as a member of the compensation committee</w:t>
      </w:r>
      <w:bookmarkEnd w:id="3"/>
      <w:r>
        <w:rPr>
          <w:sz w:val="22"/>
          <w:szCs w:val="22"/>
          <w:lang w:eastAsia="zh-CN"/>
        </w:rPr>
        <w:t xml:space="preserve">.  From 2009 to February 2012, Mr. Sharp was a director of Exceed Co. Ltd., a NASDAQ listed company that produces footwear, apparel and accessories where he served as chairman of the audit committee and the compensation committee. Mr. Sharp joined The Goodyear Tire &amp; Rubber Company in 1964 and was the president of its North America Tire group from 1999 to 2000. Prior to that, he was the president of its Global Support Operations from 1996 to 1999, and the president of Goodyear Europe, Middle East and Africa from 1992 to 1996. Mr. Sharp received his </w:t>
      </w:r>
      <w:proofErr w:type="gramStart"/>
      <w:r>
        <w:rPr>
          <w:sz w:val="22"/>
          <w:szCs w:val="22"/>
          <w:lang w:eastAsia="zh-CN"/>
        </w:rPr>
        <w:t>bachelor of science</w:t>
      </w:r>
      <w:proofErr w:type="gramEnd"/>
      <w:r>
        <w:rPr>
          <w:sz w:val="22"/>
          <w:szCs w:val="22"/>
          <w:lang w:eastAsia="zh-CN"/>
        </w:rPr>
        <w:t xml:space="preserve"> degree in industrial engineering from Ohio State University in 1963. </w:t>
      </w:r>
    </w:p>
    <w:p w:rsidR="0040077E" w:rsidRDefault="0040077E">
      <w:pPr>
        <w:ind w:firstLine="540"/>
        <w:jc w:val="both"/>
        <w:rPr>
          <w:sz w:val="22"/>
          <w:szCs w:val="22"/>
          <w:lang w:eastAsia="zh-CN"/>
        </w:rPr>
      </w:pPr>
    </w:p>
    <w:p w:rsidR="0040077E" w:rsidRDefault="0040077E">
      <w:pPr>
        <w:spacing w:after="200"/>
        <w:ind w:firstLine="540"/>
        <w:jc w:val="both"/>
        <w:rPr>
          <w:sz w:val="22"/>
          <w:szCs w:val="22"/>
          <w:lang w:eastAsia="zh-CN"/>
        </w:rPr>
      </w:pPr>
      <w:r>
        <w:rPr>
          <w:i/>
          <w:iCs/>
          <w:sz w:val="22"/>
          <w:szCs w:val="22"/>
          <w:lang w:eastAsia="zh-CN"/>
        </w:rPr>
        <w:t>Mr. </w:t>
      </w:r>
      <w:proofErr w:type="spellStart"/>
      <w:r>
        <w:rPr>
          <w:i/>
          <w:iCs/>
          <w:sz w:val="22"/>
          <w:szCs w:val="22"/>
          <w:lang w:eastAsia="zh-CN"/>
        </w:rPr>
        <w:t>Yichun</w:t>
      </w:r>
      <w:proofErr w:type="spellEnd"/>
      <w:r>
        <w:rPr>
          <w:i/>
          <w:iCs/>
          <w:sz w:val="22"/>
          <w:szCs w:val="22"/>
          <w:lang w:eastAsia="zh-CN"/>
        </w:rPr>
        <w:t xml:space="preserve"> Zhang</w:t>
      </w:r>
      <w:r>
        <w:rPr>
          <w:sz w:val="22"/>
          <w:szCs w:val="22"/>
          <w:lang w:eastAsia="zh-CN"/>
        </w:rPr>
        <w:t xml:space="preserve"> has served as our independent director since May 2011. Mr. Zhang is the head of the Financial Research Institute of Xiamen University. Since 1960, Mr. Zhang has been a lecturer of the economics department, associate professor and deputy head of the finance and fiscal department of the economics faculty, professor, supervisor of doctoral candidates and department head of the finance and fiscal department, professor, supervisor of doctoral candidates and faculty head of the economics faculty, and professor, supervisor of doctoral candidates and head of the fiscal research institute, all of Xiamen University. In addition, Mr. Zhang has served as an independent director of CNFOL.COM Company Limited, a PRC online financial information provider, Shanghai CiFi Company Limited, a PRC property developer, and Shenzhen Minsheng Royal Fund Management Co., Ltd., a PRC fund management company (where he serves as a member of the audit committee), since 2007. Mr. Zhang also served as an independent director of Zhengzhou Gas Company Limited, a Hong Kong Stock Exchange listed company, from 2002 to 2008, and Fujian Zhonghe Company Limited, </w:t>
      </w:r>
      <w:proofErr w:type="gramStart"/>
      <w:r>
        <w:rPr>
          <w:sz w:val="22"/>
          <w:szCs w:val="22"/>
          <w:lang w:eastAsia="zh-CN"/>
        </w:rPr>
        <w:t>a</w:t>
      </w:r>
      <w:proofErr w:type="gramEnd"/>
      <w:r>
        <w:rPr>
          <w:sz w:val="22"/>
          <w:szCs w:val="22"/>
          <w:lang w:eastAsia="zh-CN"/>
        </w:rPr>
        <w:t xml:space="preserve"> Shenzhen Stock Exchange listed company, from 2002 to 2008. Mr. Zhang served as an external supervisor of Industrial Bank Company Limited, a Shanghai Stock Exchange listed company, from 2004 to 2007. Mr. Zhang received his bachelor’s degree in economics from Xiamen University in 1960. </w:t>
      </w:r>
    </w:p>
    <w:p w:rsidR="0011311E" w:rsidRDefault="0011311E" w:rsidP="0011311E">
      <w:pPr>
        <w:pStyle w:val="NormalWeb"/>
        <w:ind w:firstLine="540"/>
        <w:jc w:val="both"/>
        <w:rPr>
          <w:i/>
          <w:iCs/>
          <w:color w:val="000000"/>
          <w:sz w:val="22"/>
          <w:szCs w:val="22"/>
        </w:rPr>
      </w:pPr>
    </w:p>
    <w:p w:rsidR="0011311E" w:rsidRDefault="0011311E" w:rsidP="0011311E">
      <w:pPr>
        <w:pStyle w:val="NormalWeb"/>
        <w:ind w:firstLine="540"/>
        <w:jc w:val="both"/>
        <w:rPr>
          <w:i/>
          <w:iCs/>
          <w:color w:val="000000"/>
          <w:sz w:val="22"/>
          <w:szCs w:val="22"/>
        </w:rPr>
      </w:pPr>
    </w:p>
    <w:p w:rsidR="0011311E" w:rsidRDefault="0011311E" w:rsidP="0011311E">
      <w:pPr>
        <w:pStyle w:val="NormalWeb"/>
        <w:ind w:firstLine="540"/>
        <w:jc w:val="both"/>
        <w:rPr>
          <w:i/>
          <w:iCs/>
          <w:color w:val="000000"/>
          <w:sz w:val="22"/>
          <w:szCs w:val="22"/>
        </w:rPr>
      </w:pPr>
    </w:p>
    <w:p w:rsidR="0011311E" w:rsidRDefault="0011311E" w:rsidP="0011311E">
      <w:pPr>
        <w:pStyle w:val="NormalWeb"/>
        <w:ind w:firstLine="540"/>
        <w:jc w:val="both"/>
        <w:rPr>
          <w:i/>
          <w:iCs/>
          <w:color w:val="000000"/>
          <w:sz w:val="22"/>
          <w:szCs w:val="22"/>
        </w:rPr>
      </w:pPr>
    </w:p>
    <w:p w:rsidR="0011311E" w:rsidRDefault="0011311E" w:rsidP="0011311E">
      <w:pPr>
        <w:pStyle w:val="NormalWeb"/>
        <w:ind w:firstLine="540"/>
        <w:jc w:val="both"/>
        <w:rPr>
          <w:i/>
          <w:iCs/>
          <w:color w:val="000000"/>
          <w:sz w:val="22"/>
          <w:szCs w:val="22"/>
        </w:rPr>
      </w:pPr>
    </w:p>
    <w:p w:rsidR="0011311E" w:rsidRDefault="0011311E" w:rsidP="0011311E">
      <w:pPr>
        <w:pStyle w:val="NormalWeb"/>
        <w:ind w:firstLine="540"/>
        <w:jc w:val="both"/>
        <w:rPr>
          <w:i/>
          <w:iCs/>
          <w:color w:val="000000"/>
          <w:sz w:val="22"/>
          <w:szCs w:val="22"/>
        </w:rPr>
      </w:pPr>
    </w:p>
    <w:p w:rsidR="0011311E" w:rsidRPr="006D57A7" w:rsidRDefault="0011311E" w:rsidP="0011311E">
      <w:pPr>
        <w:pStyle w:val="NormalWeb"/>
        <w:ind w:firstLine="540"/>
        <w:jc w:val="both"/>
        <w:rPr>
          <w:color w:val="000000"/>
          <w:sz w:val="22"/>
          <w:szCs w:val="22"/>
        </w:rPr>
      </w:pPr>
      <w:r w:rsidRPr="006D57A7">
        <w:rPr>
          <w:i/>
          <w:iCs/>
          <w:color w:val="000000"/>
          <w:sz w:val="22"/>
          <w:szCs w:val="22"/>
        </w:rPr>
        <w:lastRenderedPageBreak/>
        <w:t>Mr. </w:t>
      </w:r>
      <w:proofErr w:type="spellStart"/>
      <w:r w:rsidRPr="006D57A7">
        <w:rPr>
          <w:i/>
          <w:iCs/>
          <w:color w:val="000000"/>
          <w:sz w:val="22"/>
          <w:szCs w:val="22"/>
        </w:rPr>
        <w:t>Xiandai</w:t>
      </w:r>
      <w:proofErr w:type="spellEnd"/>
      <w:r w:rsidRPr="006D57A7">
        <w:rPr>
          <w:i/>
          <w:iCs/>
          <w:color w:val="000000"/>
          <w:sz w:val="22"/>
          <w:szCs w:val="22"/>
        </w:rPr>
        <w:t xml:space="preserve"> Zhang </w:t>
      </w:r>
      <w:r w:rsidRPr="006D57A7">
        <w:rPr>
          <w:color w:val="000000"/>
          <w:sz w:val="22"/>
          <w:szCs w:val="22"/>
        </w:rPr>
        <w:t xml:space="preserve">has served as our independent director since November 2014. Mr. Zhang is the director of taxation and a legal representative of Quanzhou </w:t>
      </w:r>
      <w:proofErr w:type="spellStart"/>
      <w:r w:rsidRPr="006D57A7">
        <w:rPr>
          <w:color w:val="000000"/>
          <w:sz w:val="22"/>
          <w:szCs w:val="22"/>
        </w:rPr>
        <w:t>Fangzheng</w:t>
      </w:r>
      <w:proofErr w:type="spellEnd"/>
      <w:r w:rsidRPr="006D57A7">
        <w:rPr>
          <w:color w:val="000000"/>
          <w:sz w:val="22"/>
          <w:szCs w:val="22"/>
        </w:rPr>
        <w:t xml:space="preserve"> Taxation since 2005. From 2000 to 2005, Mr. Zhang was the deputy director and an accountant at Quanzhou </w:t>
      </w:r>
      <w:proofErr w:type="spellStart"/>
      <w:r w:rsidRPr="006D57A7">
        <w:rPr>
          <w:color w:val="000000"/>
          <w:sz w:val="22"/>
          <w:szCs w:val="22"/>
        </w:rPr>
        <w:t>Fangzheng</w:t>
      </w:r>
      <w:proofErr w:type="spellEnd"/>
      <w:r w:rsidRPr="006D57A7">
        <w:rPr>
          <w:color w:val="000000"/>
          <w:sz w:val="22"/>
          <w:szCs w:val="22"/>
        </w:rPr>
        <w:t xml:space="preserve"> Accounting. Previously, he was the deputy director and accountant in the City of </w:t>
      </w:r>
      <w:proofErr w:type="spellStart"/>
      <w:r w:rsidRPr="006D57A7">
        <w:rPr>
          <w:color w:val="000000"/>
          <w:sz w:val="22"/>
          <w:szCs w:val="22"/>
        </w:rPr>
        <w:t>Shishi</w:t>
      </w:r>
      <w:proofErr w:type="spellEnd"/>
      <w:r w:rsidRPr="006D57A7">
        <w:rPr>
          <w:color w:val="000000"/>
          <w:sz w:val="22"/>
          <w:szCs w:val="22"/>
        </w:rPr>
        <w:t xml:space="preserve"> and an auditor in </w:t>
      </w:r>
      <w:proofErr w:type="spellStart"/>
      <w:r w:rsidRPr="006D57A7">
        <w:rPr>
          <w:color w:val="000000"/>
          <w:sz w:val="22"/>
          <w:szCs w:val="22"/>
        </w:rPr>
        <w:t>Yong’An</w:t>
      </w:r>
      <w:proofErr w:type="spellEnd"/>
      <w:r w:rsidRPr="006D57A7">
        <w:rPr>
          <w:color w:val="000000"/>
          <w:sz w:val="22"/>
          <w:szCs w:val="22"/>
        </w:rPr>
        <w:t xml:space="preserve"> City. Mr. Zhang is a Certified Public Accountant and Chartered Tax Adviser in China. He is also qualified as an economist and senior auditor. Mr. Zhang has over 20 years of experience in auditing, tax and accounting including 6 years of national auditing, 16 </w:t>
      </w:r>
      <w:proofErr w:type="spellStart"/>
      <w:r w:rsidRPr="006D57A7">
        <w:rPr>
          <w:color w:val="000000"/>
          <w:sz w:val="22"/>
          <w:szCs w:val="22"/>
        </w:rPr>
        <w:t>years experience</w:t>
      </w:r>
      <w:proofErr w:type="spellEnd"/>
      <w:r w:rsidRPr="006D57A7">
        <w:rPr>
          <w:color w:val="000000"/>
          <w:sz w:val="22"/>
          <w:szCs w:val="22"/>
        </w:rPr>
        <w:t xml:space="preserve"> with accounting and tax firms, and 12 years as an auditor or tax project manager. Mr. Zhang received his bachelor’s degree in accounting from Fuzhou University in 1992.</w:t>
      </w:r>
    </w:p>
    <w:p w:rsidR="0011311E" w:rsidRPr="0011311E" w:rsidRDefault="0011311E">
      <w:pPr>
        <w:spacing w:after="200"/>
        <w:ind w:firstLine="540"/>
        <w:jc w:val="both"/>
        <w:rPr>
          <w:sz w:val="22"/>
          <w:szCs w:val="22"/>
          <w:lang w:eastAsia="zh-CN"/>
        </w:rPr>
      </w:pPr>
    </w:p>
    <w:p w:rsidR="0011311E" w:rsidRDefault="0011311E">
      <w:pPr>
        <w:spacing w:after="200"/>
        <w:ind w:firstLine="540"/>
        <w:jc w:val="both"/>
        <w:rPr>
          <w:lang w:eastAsia="zh-CN"/>
        </w:rPr>
      </w:pPr>
    </w:p>
    <w:p w:rsidR="0040077E" w:rsidRDefault="0040077E">
      <w:pPr>
        <w:spacing w:after="200"/>
        <w:ind w:firstLine="490"/>
        <w:jc w:val="both"/>
        <w:rPr>
          <w:sz w:val="22"/>
          <w:szCs w:val="22"/>
        </w:rPr>
      </w:pPr>
      <w:r>
        <w:rPr>
          <w:sz w:val="22"/>
          <w:szCs w:val="22"/>
        </w:rPr>
        <w:t xml:space="preserve">The directors will be elected by affirmative vote of the holders of a majority of the shares present and voting in person or by proxy and entitled to vote at the annual general meeting.  In electing directors, each shareholder may cast one vote per share owned for each director to be elected; shareholders cannot use cumulative voting. </w:t>
      </w:r>
    </w:p>
    <w:p w:rsidR="0040077E" w:rsidRDefault="0040077E">
      <w:pPr>
        <w:spacing w:before="360"/>
        <w:jc w:val="center"/>
        <w:rPr>
          <w:sz w:val="22"/>
          <w:szCs w:val="22"/>
        </w:rPr>
      </w:pPr>
      <w:r>
        <w:rPr>
          <w:b/>
          <w:bCs/>
          <w:sz w:val="22"/>
          <w:szCs w:val="22"/>
        </w:rPr>
        <w:t xml:space="preserve">THE BOARD OF DIRECTORS RECOMMENDS A VOTE </w:t>
      </w:r>
      <w:r>
        <w:rPr>
          <w:b/>
          <w:bCs/>
          <w:i/>
          <w:iCs/>
          <w:sz w:val="22"/>
          <w:szCs w:val="22"/>
        </w:rPr>
        <w:t>FOR</w:t>
      </w:r>
    </w:p>
    <w:p w:rsidR="00232BE2" w:rsidRDefault="0040077E" w:rsidP="005F4BB1">
      <w:pPr>
        <w:jc w:val="center"/>
        <w:rPr>
          <w:b/>
          <w:bCs/>
          <w:sz w:val="22"/>
          <w:szCs w:val="22"/>
        </w:rPr>
      </w:pPr>
      <w:r>
        <w:rPr>
          <w:b/>
          <w:bCs/>
          <w:sz w:val="22"/>
          <w:szCs w:val="22"/>
        </w:rPr>
        <w:t>THE ELECTION OF EACH OF THE NOMINEES NAMED ABOVE.</w:t>
      </w:r>
    </w:p>
    <w:p w:rsidR="00232BE2" w:rsidRDefault="00232BE2">
      <w:pPr>
        <w:rPr>
          <w:b/>
          <w:bCs/>
          <w:sz w:val="22"/>
          <w:szCs w:val="22"/>
        </w:rPr>
      </w:pPr>
      <w:r>
        <w:rPr>
          <w:b/>
          <w:bCs/>
          <w:sz w:val="22"/>
          <w:szCs w:val="22"/>
        </w:rPr>
        <w:br w:type="page"/>
      </w:r>
    </w:p>
    <w:p w:rsidR="00232BE2" w:rsidRDefault="00232BE2" w:rsidP="00232BE2">
      <w:pPr>
        <w:jc w:val="center"/>
        <w:rPr>
          <w:sz w:val="22"/>
          <w:szCs w:val="22"/>
        </w:rPr>
      </w:pPr>
      <w:r>
        <w:rPr>
          <w:b/>
          <w:bCs/>
          <w:sz w:val="22"/>
          <w:szCs w:val="22"/>
        </w:rPr>
        <w:lastRenderedPageBreak/>
        <w:t>PROPOSAL 2</w:t>
      </w:r>
    </w:p>
    <w:p w:rsidR="00232BE2" w:rsidRDefault="00232BE2" w:rsidP="00232BE2">
      <w:pPr>
        <w:spacing w:before="180"/>
        <w:jc w:val="center"/>
        <w:rPr>
          <w:sz w:val="22"/>
          <w:szCs w:val="22"/>
        </w:rPr>
      </w:pPr>
      <w:r>
        <w:rPr>
          <w:b/>
          <w:bCs/>
          <w:sz w:val="22"/>
          <w:szCs w:val="22"/>
        </w:rPr>
        <w:t>RATIFICATION OF INDEPENDENT AUDITORS</w:t>
      </w:r>
    </w:p>
    <w:p w:rsidR="00232BE2" w:rsidRDefault="00232BE2" w:rsidP="00232BE2">
      <w:pPr>
        <w:tabs>
          <w:tab w:val="left" w:pos="4404"/>
        </w:tabs>
        <w:ind w:firstLine="490"/>
        <w:jc w:val="both"/>
        <w:rPr>
          <w:sz w:val="22"/>
          <w:szCs w:val="22"/>
        </w:rPr>
      </w:pPr>
      <w:r>
        <w:rPr>
          <w:sz w:val="22"/>
          <w:szCs w:val="22"/>
        </w:rPr>
        <w:tab/>
      </w:r>
    </w:p>
    <w:p w:rsidR="00232BE2" w:rsidRDefault="00232BE2" w:rsidP="00232BE2">
      <w:pPr>
        <w:ind w:firstLine="490"/>
        <w:jc w:val="both"/>
        <w:rPr>
          <w:sz w:val="22"/>
          <w:szCs w:val="22"/>
        </w:rPr>
      </w:pPr>
      <w:r>
        <w:rPr>
          <w:sz w:val="22"/>
          <w:szCs w:val="22"/>
        </w:rPr>
        <w:t xml:space="preserve">Our audit committee recommends, and our board concurs, that </w:t>
      </w:r>
      <w:r>
        <w:rPr>
          <w:rFonts w:hint="eastAsia"/>
          <w:sz w:val="22"/>
          <w:szCs w:val="22"/>
          <w:lang w:eastAsia="zh-CN"/>
        </w:rPr>
        <w:t>DCAW</w:t>
      </w:r>
      <w:r>
        <w:rPr>
          <w:sz w:val="22"/>
          <w:szCs w:val="22"/>
          <w:lang w:eastAsia="zh-CN"/>
        </w:rPr>
        <w:t xml:space="preserve"> CPA Limited</w:t>
      </w:r>
      <w:r>
        <w:rPr>
          <w:sz w:val="22"/>
          <w:szCs w:val="22"/>
        </w:rPr>
        <w:t xml:space="preserve"> be appointed as our independent auditors for the year ending December 31, 201</w:t>
      </w:r>
      <w:r>
        <w:rPr>
          <w:rFonts w:hint="eastAsia"/>
          <w:sz w:val="22"/>
          <w:szCs w:val="22"/>
          <w:lang w:eastAsia="zh-CN"/>
        </w:rPr>
        <w:t>6</w:t>
      </w:r>
      <w:r>
        <w:rPr>
          <w:sz w:val="22"/>
          <w:szCs w:val="22"/>
        </w:rPr>
        <w:t xml:space="preserve">.  </w:t>
      </w:r>
    </w:p>
    <w:p w:rsidR="00232BE2" w:rsidRDefault="00232BE2" w:rsidP="00232BE2">
      <w:pPr>
        <w:ind w:firstLine="490"/>
        <w:jc w:val="both"/>
        <w:rPr>
          <w:sz w:val="22"/>
          <w:szCs w:val="22"/>
        </w:rPr>
      </w:pPr>
    </w:p>
    <w:p w:rsidR="00232BE2" w:rsidRDefault="00232BE2" w:rsidP="00232BE2">
      <w:pPr>
        <w:ind w:firstLine="490"/>
        <w:jc w:val="both"/>
        <w:rPr>
          <w:sz w:val="22"/>
          <w:szCs w:val="22"/>
        </w:rPr>
      </w:pPr>
      <w:r>
        <w:rPr>
          <w:sz w:val="22"/>
          <w:szCs w:val="22"/>
        </w:rPr>
        <w:t xml:space="preserve">In the event our shareholders fail to ratify the appointment, our audit committee will reconsider its selection.  Even if the selection is ratified, our audit committee in its discretion may direct the appointment of a different independent auditing firm at any time during the year if the audit committee believes that such a change would be in the best interests of our company and shareholders. </w:t>
      </w:r>
    </w:p>
    <w:p w:rsidR="00232BE2" w:rsidRDefault="00232BE2" w:rsidP="00232BE2">
      <w:pPr>
        <w:ind w:firstLine="490"/>
        <w:jc w:val="both"/>
        <w:rPr>
          <w:sz w:val="22"/>
          <w:szCs w:val="22"/>
        </w:rPr>
      </w:pPr>
    </w:p>
    <w:p w:rsidR="00232BE2" w:rsidRDefault="00232BE2" w:rsidP="00232BE2">
      <w:pPr>
        <w:ind w:firstLine="490"/>
        <w:jc w:val="both"/>
        <w:rPr>
          <w:sz w:val="22"/>
          <w:szCs w:val="22"/>
        </w:rPr>
      </w:pPr>
      <w:r>
        <w:rPr>
          <w:sz w:val="22"/>
          <w:szCs w:val="22"/>
        </w:rPr>
        <w:t xml:space="preserve">The affirmative vote of the holders of a majority of the shares present and voting in person or by proxy and entitled to vote at the annual general meeting will be required to approve this proposal 2. </w:t>
      </w:r>
    </w:p>
    <w:p w:rsidR="00232BE2" w:rsidRDefault="00232BE2" w:rsidP="00232BE2">
      <w:pPr>
        <w:spacing w:before="360"/>
        <w:jc w:val="center"/>
        <w:rPr>
          <w:sz w:val="22"/>
          <w:szCs w:val="22"/>
        </w:rPr>
      </w:pPr>
      <w:r>
        <w:rPr>
          <w:b/>
          <w:bCs/>
          <w:sz w:val="22"/>
          <w:szCs w:val="22"/>
        </w:rPr>
        <w:t xml:space="preserve">THE BOARD AND THE AUDIT COMMITTEE RECOMMEND A VOTE </w:t>
      </w:r>
      <w:r>
        <w:rPr>
          <w:b/>
          <w:bCs/>
          <w:i/>
          <w:iCs/>
          <w:sz w:val="22"/>
          <w:szCs w:val="22"/>
        </w:rPr>
        <w:t>FOR</w:t>
      </w:r>
    </w:p>
    <w:p w:rsidR="00232BE2" w:rsidRDefault="00232BE2" w:rsidP="00232BE2">
      <w:pPr>
        <w:jc w:val="center"/>
        <w:rPr>
          <w:sz w:val="22"/>
          <w:szCs w:val="22"/>
        </w:rPr>
      </w:pPr>
      <w:r>
        <w:rPr>
          <w:b/>
          <w:bCs/>
          <w:sz w:val="22"/>
          <w:szCs w:val="22"/>
        </w:rPr>
        <w:t>RATIFICATION OF THE APPOINTMENT OF</w:t>
      </w:r>
    </w:p>
    <w:p w:rsidR="00232BE2" w:rsidRDefault="00232BE2" w:rsidP="00232BE2">
      <w:pPr>
        <w:jc w:val="center"/>
        <w:rPr>
          <w:sz w:val="22"/>
          <w:szCs w:val="22"/>
        </w:rPr>
      </w:pPr>
      <w:r>
        <w:rPr>
          <w:b/>
          <w:bCs/>
          <w:sz w:val="22"/>
          <w:szCs w:val="22"/>
        </w:rPr>
        <w:t>DCAW CPA LIMITED</w:t>
      </w:r>
    </w:p>
    <w:p w:rsidR="00232BE2" w:rsidRDefault="00232BE2" w:rsidP="00232BE2">
      <w:pPr>
        <w:jc w:val="center"/>
        <w:rPr>
          <w:sz w:val="22"/>
          <w:szCs w:val="22"/>
        </w:rPr>
      </w:pPr>
      <w:r>
        <w:rPr>
          <w:b/>
          <w:bCs/>
          <w:sz w:val="22"/>
          <w:szCs w:val="22"/>
        </w:rPr>
        <w:t>AS OUR INDEPENDENT AUDITORS</w:t>
      </w:r>
    </w:p>
    <w:p w:rsidR="00232BE2" w:rsidRDefault="00232BE2" w:rsidP="00232BE2">
      <w:pPr>
        <w:jc w:val="center"/>
        <w:rPr>
          <w:sz w:val="22"/>
          <w:szCs w:val="22"/>
        </w:rPr>
      </w:pPr>
      <w:r>
        <w:rPr>
          <w:b/>
          <w:bCs/>
          <w:sz w:val="22"/>
          <w:szCs w:val="22"/>
        </w:rPr>
        <w:t>FOR THE YEAR ENDING DECEMBER 31, 2016.</w:t>
      </w:r>
    </w:p>
    <w:p w:rsidR="0040077E" w:rsidRDefault="0040077E" w:rsidP="005F4BB1">
      <w:pPr>
        <w:jc w:val="center"/>
        <w:rPr>
          <w:sz w:val="22"/>
          <w:szCs w:val="22"/>
        </w:rPr>
      </w:pPr>
      <w:r>
        <w:rPr>
          <w:sz w:val="22"/>
          <w:szCs w:val="22"/>
        </w:rPr>
        <w:br w:type="page"/>
      </w:r>
      <w:r w:rsidR="005F4BB1">
        <w:rPr>
          <w:sz w:val="22"/>
          <w:szCs w:val="22"/>
        </w:rPr>
        <w:lastRenderedPageBreak/>
        <w:t xml:space="preserve"> </w:t>
      </w:r>
    </w:p>
    <w:p w:rsidR="0040077E" w:rsidRDefault="0040077E">
      <w:pPr>
        <w:jc w:val="center"/>
        <w:rPr>
          <w:sz w:val="22"/>
          <w:szCs w:val="22"/>
        </w:rPr>
      </w:pPr>
      <w:r>
        <w:rPr>
          <w:b/>
          <w:bCs/>
          <w:sz w:val="22"/>
          <w:szCs w:val="22"/>
        </w:rPr>
        <w:t>ACCESS TO CORPORATE GOVERNANCE POLICIES</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 xml:space="preserve">We adopted a code of business conduct and ethics, which is applicable to all of our employees, directors and officers.  Our code of business conduct and ethics has been filed as an exhibit to our registration statement on Form F-1 (File No. 333-173587), as amended, initially filed with the U.S. Securities and Exchange Commission on April 19, 2011.  To the extent required by law, any amendments to, or waivers from, any provision of the code of business conduct and ethics will be promptly disclosed to the public. </w:t>
      </w:r>
    </w:p>
    <w:p w:rsidR="0040077E" w:rsidRDefault="0040077E">
      <w:pPr>
        <w:ind w:firstLine="490"/>
        <w:jc w:val="both"/>
        <w:rPr>
          <w:sz w:val="22"/>
          <w:szCs w:val="22"/>
        </w:rPr>
      </w:pPr>
    </w:p>
    <w:p w:rsidR="0040077E" w:rsidRDefault="0040077E">
      <w:pPr>
        <w:ind w:firstLine="490"/>
        <w:jc w:val="both"/>
        <w:rPr>
          <w:sz w:val="22"/>
          <w:szCs w:val="22"/>
        </w:rPr>
      </w:pPr>
      <w:r>
        <w:rPr>
          <w:sz w:val="22"/>
          <w:szCs w:val="22"/>
        </w:rPr>
        <w:t xml:space="preserve">Copies of our company’s committee charters and code of business conduct and ethics will be provided to any shareholder upon written request to Donald Wang, Vice President – Finance, of China Zenix Auto International Limited, No. 1608, North Circle Road State Highway, Zhangzhou, Fujian Province 363000, </w:t>
      </w:r>
      <w:proofErr w:type="gramStart"/>
      <w:r>
        <w:rPr>
          <w:sz w:val="22"/>
          <w:szCs w:val="22"/>
        </w:rPr>
        <w:t>People’s</w:t>
      </w:r>
      <w:proofErr w:type="gramEnd"/>
      <w:r>
        <w:rPr>
          <w:sz w:val="22"/>
          <w:szCs w:val="22"/>
        </w:rPr>
        <w:t xml:space="preserve"> Republic of China. </w:t>
      </w:r>
    </w:p>
    <w:p w:rsidR="0040077E" w:rsidRDefault="0040077E">
      <w:pPr>
        <w:spacing w:before="360"/>
        <w:jc w:val="center"/>
        <w:rPr>
          <w:b/>
          <w:bCs/>
          <w:sz w:val="22"/>
          <w:szCs w:val="22"/>
        </w:rPr>
      </w:pPr>
      <w:r>
        <w:rPr>
          <w:b/>
          <w:bCs/>
          <w:sz w:val="22"/>
          <w:szCs w:val="22"/>
        </w:rPr>
        <w:t>ANNUAL REPORT TO SHAREHOLDERS</w:t>
      </w:r>
    </w:p>
    <w:p w:rsidR="0040077E" w:rsidRDefault="0040077E">
      <w:pPr>
        <w:jc w:val="center"/>
        <w:rPr>
          <w:sz w:val="22"/>
          <w:szCs w:val="22"/>
        </w:rPr>
      </w:pPr>
    </w:p>
    <w:p w:rsidR="0040077E" w:rsidRDefault="0040077E">
      <w:pPr>
        <w:ind w:firstLine="490"/>
        <w:jc w:val="both"/>
        <w:rPr>
          <w:b/>
          <w:i/>
          <w:sz w:val="22"/>
          <w:szCs w:val="22"/>
        </w:rPr>
      </w:pPr>
      <w:r>
        <w:rPr>
          <w:sz w:val="22"/>
          <w:szCs w:val="22"/>
        </w:rPr>
        <w:t>Pursuant to Section 203.01 of the New York Stock Exchange Listed Company Manual which permits companies to make available their annual report to shareholders on or through the company’s website, we post our annual reports on our website.  The annual report has been filed with the U.S. Securities and Exchange Commission.  We adopted this practice to avoid the considerable expense associated with mailing physical copies of such reports to record holders and beneficial owners of the company’s ADSs and ordinary shares.  Y</w:t>
      </w:r>
      <w:r w:rsidR="000B7F8A">
        <w:rPr>
          <w:sz w:val="22"/>
          <w:szCs w:val="22"/>
        </w:rPr>
        <w:t>ou may obtain a copy of our 201</w:t>
      </w:r>
      <w:r w:rsidR="00FA2763">
        <w:rPr>
          <w:sz w:val="22"/>
          <w:szCs w:val="22"/>
        </w:rPr>
        <w:t>5</w:t>
      </w:r>
      <w:r>
        <w:rPr>
          <w:sz w:val="22"/>
          <w:szCs w:val="22"/>
        </w:rPr>
        <w:t xml:space="preserve"> annual report by visiting our website </w:t>
      </w:r>
      <w:r>
        <w:rPr>
          <w:sz w:val="22"/>
          <w:szCs w:val="22"/>
          <w:u w:val="single"/>
        </w:rPr>
        <w:t>http://zenixauto.investorroom.com/</w:t>
      </w:r>
      <w:r>
        <w:rPr>
          <w:sz w:val="22"/>
          <w:szCs w:val="22"/>
        </w:rPr>
        <w:t>.  If you want to receive a</w:t>
      </w:r>
      <w:r w:rsidR="000B7F8A">
        <w:rPr>
          <w:sz w:val="22"/>
          <w:szCs w:val="22"/>
        </w:rPr>
        <w:t xml:space="preserve"> paper or email copy of our 201</w:t>
      </w:r>
      <w:r w:rsidR="00FA2763">
        <w:rPr>
          <w:sz w:val="22"/>
          <w:szCs w:val="22"/>
        </w:rPr>
        <w:t>5</w:t>
      </w:r>
      <w:r>
        <w:rPr>
          <w:sz w:val="22"/>
          <w:szCs w:val="22"/>
        </w:rPr>
        <w:t xml:space="preserve"> annual report, you must request one.  There is no charge to you for requesting a copy.  Please make your request for a copy to Donald Wang, Vice President - Finance, at donald.wang@zenixauto.com or +86-159-6062-3365. </w:t>
      </w:r>
    </w:p>
    <w:p w:rsidR="0040077E" w:rsidRDefault="0040077E">
      <w:pPr>
        <w:jc w:val="both"/>
        <w:rPr>
          <w:sz w:val="22"/>
          <w:szCs w:val="22"/>
        </w:rPr>
      </w:pPr>
      <w:r>
        <w:rPr>
          <w:sz w:val="22"/>
          <w:szCs w:val="22"/>
        </w:rPr>
        <w:t> </w:t>
      </w:r>
    </w:p>
    <w:p w:rsidR="0040077E" w:rsidRDefault="0040077E">
      <w:pPr>
        <w:jc w:val="center"/>
        <w:rPr>
          <w:sz w:val="22"/>
          <w:szCs w:val="22"/>
        </w:rPr>
      </w:pPr>
      <w:r>
        <w:rPr>
          <w:b/>
          <w:bCs/>
          <w:sz w:val="22"/>
          <w:szCs w:val="22"/>
        </w:rPr>
        <w:br w:type="page"/>
      </w:r>
      <w:r>
        <w:rPr>
          <w:b/>
          <w:bCs/>
          <w:sz w:val="22"/>
          <w:szCs w:val="22"/>
        </w:rPr>
        <w:lastRenderedPageBreak/>
        <w:t>OTHER MATTERS</w:t>
      </w:r>
    </w:p>
    <w:p w:rsidR="0040077E" w:rsidRDefault="0040077E">
      <w:pPr>
        <w:spacing w:before="180"/>
        <w:ind w:firstLine="490"/>
        <w:jc w:val="both"/>
        <w:rPr>
          <w:sz w:val="22"/>
          <w:szCs w:val="22"/>
        </w:rPr>
      </w:pPr>
      <w:r>
        <w:rPr>
          <w:sz w:val="22"/>
          <w:szCs w:val="22"/>
        </w:rPr>
        <w:t xml:space="preserve">We know of no other matters to be submitted to the annual general meeting.  If any other matters properly come before the annual general meeting, it is the intention of the persons named in the enclosed form of proxy to vote the shares they represent as the board of directors may recommend. </w:t>
      </w:r>
    </w:p>
    <w:p w:rsidR="0040077E" w:rsidRDefault="0040077E">
      <w:pPr>
        <w:jc w:val="both"/>
        <w:rPr>
          <w:sz w:val="22"/>
          <w:szCs w:val="22"/>
        </w:rPr>
      </w:pPr>
      <w:r>
        <w:rPr>
          <w:sz w:val="22"/>
          <w:szCs w:val="22"/>
        </w:rPr>
        <w:t> </w:t>
      </w:r>
    </w:p>
    <w:tbl>
      <w:tblPr>
        <w:tblW w:w="2000" w:type="pct"/>
        <w:jc w:val="right"/>
        <w:tblCellSpacing w:w="0" w:type="dxa"/>
        <w:tblCellMar>
          <w:left w:w="0" w:type="dxa"/>
          <w:right w:w="0" w:type="dxa"/>
        </w:tblCellMar>
        <w:tblLook w:val="0000" w:firstRow="0" w:lastRow="0" w:firstColumn="0" w:lastColumn="0" w:noHBand="0" w:noVBand="0"/>
      </w:tblPr>
      <w:tblGrid>
        <w:gridCol w:w="3744"/>
      </w:tblGrid>
      <w:tr w:rsidR="0040077E" w:rsidRPr="00381C40">
        <w:trPr>
          <w:tblCellSpacing w:w="0" w:type="dxa"/>
          <w:jc w:val="right"/>
        </w:trPr>
        <w:tc>
          <w:tcPr>
            <w:tcW w:w="5000" w:type="pct"/>
            <w:vAlign w:val="center"/>
          </w:tcPr>
          <w:p w:rsidR="0040077E" w:rsidRPr="00381C40" w:rsidRDefault="0040077E">
            <w:pPr>
              <w:jc w:val="both"/>
              <w:rPr>
                <w:sz w:val="22"/>
                <w:szCs w:val="22"/>
              </w:rPr>
            </w:pPr>
          </w:p>
        </w:tc>
      </w:tr>
      <w:tr w:rsidR="0040077E" w:rsidRPr="00381C40">
        <w:trPr>
          <w:tblCellSpacing w:w="0" w:type="dxa"/>
          <w:jc w:val="right"/>
        </w:trPr>
        <w:tc>
          <w:tcPr>
            <w:tcW w:w="0" w:type="auto"/>
          </w:tcPr>
          <w:p w:rsidR="0040077E" w:rsidRPr="00381C40" w:rsidRDefault="0040077E">
            <w:pPr>
              <w:spacing w:before="100" w:beforeAutospacing="1" w:after="100" w:afterAutospacing="1"/>
              <w:ind w:left="240" w:hanging="240"/>
              <w:jc w:val="both"/>
              <w:rPr>
                <w:sz w:val="22"/>
                <w:szCs w:val="22"/>
              </w:rPr>
            </w:pPr>
            <w:r w:rsidRPr="00381C40">
              <w:rPr>
                <w:sz w:val="22"/>
                <w:szCs w:val="22"/>
              </w:rPr>
              <w:t>By Order of the Board of Directors,</w:t>
            </w:r>
          </w:p>
        </w:tc>
      </w:tr>
      <w:tr w:rsidR="0040077E" w:rsidRPr="00381C40">
        <w:trPr>
          <w:trHeight w:val="240"/>
          <w:tblCellSpacing w:w="0" w:type="dxa"/>
          <w:jc w:val="right"/>
        </w:trPr>
        <w:tc>
          <w:tcPr>
            <w:tcW w:w="0" w:type="auto"/>
            <w:vAlign w:val="center"/>
          </w:tcPr>
          <w:p w:rsidR="0040077E" w:rsidRPr="00381C40" w:rsidRDefault="0040077E">
            <w:pPr>
              <w:jc w:val="both"/>
              <w:rPr>
                <w:sz w:val="22"/>
                <w:szCs w:val="22"/>
              </w:rPr>
            </w:pPr>
          </w:p>
        </w:tc>
      </w:tr>
      <w:tr w:rsidR="0040077E" w:rsidRPr="00381C40">
        <w:trPr>
          <w:tblCellSpacing w:w="0" w:type="dxa"/>
          <w:jc w:val="right"/>
        </w:trPr>
        <w:tc>
          <w:tcPr>
            <w:tcW w:w="0" w:type="auto"/>
          </w:tcPr>
          <w:p w:rsidR="0040077E" w:rsidRPr="00381C40" w:rsidRDefault="002E0B66">
            <w:pPr>
              <w:spacing w:before="100" w:beforeAutospacing="1" w:after="100" w:afterAutospacing="1"/>
              <w:ind w:left="240" w:hanging="240"/>
              <w:jc w:val="center"/>
              <w:rPr>
                <w:sz w:val="22"/>
                <w:szCs w:val="22"/>
              </w:rPr>
            </w:pPr>
            <w:r w:rsidRPr="00381C40">
              <w:rPr>
                <w:noProof/>
                <w:sz w:val="22"/>
                <w:szCs w:val="22"/>
                <w:lang w:eastAsia="zh-CN"/>
              </w:rPr>
              <w:drawing>
                <wp:inline distT="0" distB="0" distL="0" distR="0">
                  <wp:extent cx="1800860" cy="657860"/>
                  <wp:effectExtent l="0" t="0" r="2794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EFFFF"/>
                              </a:clrFrom>
                              <a:clrTo>
                                <a:srgbClr val="FE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800860" cy="657860"/>
                          </a:xfrm>
                          <a:prstGeom prst="rect">
                            <a:avLst/>
                          </a:prstGeom>
                          <a:noFill/>
                          <a:ln>
                            <a:noFill/>
                          </a:ln>
                          <a:effectLst>
                            <a:outerShdw dist="35921" dir="2700000" algn="ctr" rotWithShape="0">
                              <a:srgbClr val="FFFFFF">
                                <a:alpha val="50000"/>
                              </a:srgbClr>
                            </a:outerShdw>
                          </a:effectLst>
                        </pic:spPr>
                      </pic:pic>
                    </a:graphicData>
                  </a:graphic>
                </wp:inline>
              </w:drawing>
            </w:r>
          </w:p>
        </w:tc>
      </w:tr>
      <w:tr w:rsidR="0040077E" w:rsidRPr="00381C40">
        <w:trPr>
          <w:tblCellSpacing w:w="0" w:type="dxa"/>
          <w:jc w:val="right"/>
        </w:trPr>
        <w:tc>
          <w:tcPr>
            <w:tcW w:w="0" w:type="auto"/>
          </w:tcPr>
          <w:p w:rsidR="0040077E" w:rsidRPr="00381C40" w:rsidRDefault="0040077E">
            <w:pPr>
              <w:spacing w:before="100" w:beforeAutospacing="1" w:after="100" w:afterAutospacing="1"/>
              <w:ind w:left="240" w:hanging="240"/>
              <w:jc w:val="both"/>
              <w:rPr>
                <w:sz w:val="22"/>
                <w:szCs w:val="22"/>
              </w:rPr>
            </w:pPr>
          </w:p>
        </w:tc>
      </w:tr>
      <w:tr w:rsidR="0040077E" w:rsidRPr="00381C40">
        <w:trPr>
          <w:tblCellSpacing w:w="0" w:type="dxa"/>
          <w:jc w:val="right"/>
        </w:trPr>
        <w:tc>
          <w:tcPr>
            <w:tcW w:w="0" w:type="auto"/>
          </w:tcPr>
          <w:p w:rsidR="0040077E" w:rsidRPr="00381C40" w:rsidRDefault="0040077E">
            <w:pPr>
              <w:spacing w:before="100" w:beforeAutospacing="1" w:after="100" w:afterAutospacing="1"/>
              <w:ind w:left="240" w:hanging="240"/>
              <w:jc w:val="both"/>
              <w:rPr>
                <w:sz w:val="22"/>
                <w:szCs w:val="22"/>
              </w:rPr>
            </w:pPr>
            <w:proofErr w:type="spellStart"/>
            <w:r w:rsidRPr="00381C40">
              <w:rPr>
                <w:sz w:val="22"/>
                <w:szCs w:val="22"/>
              </w:rPr>
              <w:t>Jianhui</w:t>
            </w:r>
            <w:proofErr w:type="spellEnd"/>
            <w:r w:rsidRPr="00381C40">
              <w:rPr>
                <w:sz w:val="22"/>
                <w:szCs w:val="22"/>
              </w:rPr>
              <w:t xml:space="preserve"> Lai</w:t>
            </w:r>
          </w:p>
        </w:tc>
      </w:tr>
      <w:tr w:rsidR="0040077E" w:rsidRPr="00381C40">
        <w:trPr>
          <w:tblCellSpacing w:w="0" w:type="dxa"/>
          <w:jc w:val="right"/>
        </w:trPr>
        <w:tc>
          <w:tcPr>
            <w:tcW w:w="0" w:type="auto"/>
          </w:tcPr>
          <w:p w:rsidR="0040077E" w:rsidRPr="00381C40" w:rsidRDefault="0040077E">
            <w:pPr>
              <w:ind w:left="240" w:hanging="240"/>
              <w:jc w:val="both"/>
              <w:rPr>
                <w:sz w:val="22"/>
                <w:szCs w:val="22"/>
              </w:rPr>
            </w:pPr>
            <w:r w:rsidRPr="00381C40">
              <w:rPr>
                <w:sz w:val="22"/>
                <w:szCs w:val="22"/>
              </w:rPr>
              <w:t>Chairman of the Board of Directors</w:t>
            </w:r>
          </w:p>
          <w:p w:rsidR="0040077E" w:rsidRPr="00381C40" w:rsidRDefault="0040077E">
            <w:pPr>
              <w:spacing w:after="15"/>
              <w:ind w:left="240" w:hanging="240"/>
              <w:jc w:val="both"/>
              <w:rPr>
                <w:sz w:val="22"/>
                <w:szCs w:val="22"/>
              </w:rPr>
            </w:pPr>
            <w:r w:rsidRPr="00381C40">
              <w:rPr>
                <w:sz w:val="22"/>
                <w:szCs w:val="22"/>
              </w:rPr>
              <w:t>and Chief Executive Officer</w:t>
            </w:r>
          </w:p>
        </w:tc>
      </w:tr>
    </w:tbl>
    <w:p w:rsidR="0040077E" w:rsidRDefault="000B7F8A">
      <w:pPr>
        <w:spacing w:before="180"/>
        <w:jc w:val="both"/>
        <w:rPr>
          <w:sz w:val="22"/>
          <w:szCs w:val="22"/>
        </w:rPr>
      </w:pPr>
      <w:r>
        <w:rPr>
          <w:sz w:val="22"/>
          <w:szCs w:val="22"/>
        </w:rPr>
        <w:t xml:space="preserve">Dated: November </w:t>
      </w:r>
      <w:r w:rsidR="00FA2763">
        <w:rPr>
          <w:sz w:val="22"/>
          <w:szCs w:val="22"/>
        </w:rPr>
        <w:t>7</w:t>
      </w:r>
      <w:r>
        <w:rPr>
          <w:sz w:val="22"/>
          <w:szCs w:val="22"/>
        </w:rPr>
        <w:t>, 201</w:t>
      </w:r>
      <w:r w:rsidR="00C01262">
        <w:rPr>
          <w:rFonts w:hint="eastAsia"/>
          <w:sz w:val="22"/>
          <w:szCs w:val="22"/>
          <w:lang w:eastAsia="zh-CN"/>
        </w:rPr>
        <w:t>6</w:t>
      </w:r>
      <w:r w:rsidR="0040077E">
        <w:rPr>
          <w:sz w:val="22"/>
          <w:szCs w:val="22"/>
        </w:rPr>
        <w:t xml:space="preserve"> </w:t>
      </w:r>
    </w:p>
    <w:p w:rsidR="0040077E" w:rsidRDefault="0040077E">
      <w:pPr>
        <w:pStyle w:val="RBasic"/>
        <w:jc w:val="both"/>
        <w:rPr>
          <w:sz w:val="22"/>
          <w:szCs w:val="22"/>
        </w:rPr>
      </w:pPr>
    </w:p>
    <w:sectPr w:rsidR="0040077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F8" w:rsidRDefault="00D23DF8">
      <w:r>
        <w:separator/>
      </w:r>
    </w:p>
  </w:endnote>
  <w:endnote w:type="continuationSeparator" w:id="0">
    <w:p w:rsidR="00D23DF8" w:rsidRDefault="00D2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7E" w:rsidRDefault="0040077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35DAD">
      <w:rPr>
        <w:rStyle w:val="PageNumber"/>
        <w:noProof/>
      </w:rPr>
      <w:t>1</w:t>
    </w:r>
    <w:r>
      <w:rPr>
        <w:rStyle w:val="PageNumber"/>
      </w:rPr>
      <w:fldChar w:fldCharType="end"/>
    </w:r>
  </w:p>
  <w:p w:rsidR="0040077E" w:rsidRDefault="0040077E">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F8" w:rsidRDefault="00D23DF8">
      <w:r>
        <w:separator/>
      </w:r>
    </w:p>
  </w:footnote>
  <w:footnote w:type="continuationSeparator" w:id="0">
    <w:p w:rsidR="00D23DF8" w:rsidRDefault="00D23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7E35C6"/>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2AEA1E"/>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58A746"/>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84E136"/>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56B1E8"/>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02BE98"/>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14339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6200F4"/>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5E0BF0"/>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1095FA"/>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64AA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E350B92"/>
    <w:multiLevelType w:val="multilevel"/>
    <w:tmpl w:val="2976E77E"/>
    <w:name w:val="FishLetterList"/>
    <w:lvl w:ilvl="0">
      <w:start w:val="1"/>
      <w:numFmt w:val="lowerLetter"/>
      <w:pStyle w:val="RGLetters"/>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BB06A0"/>
    <w:multiLevelType w:val="multilevel"/>
    <w:tmpl w:val="B0A2CBC2"/>
    <w:name w:val="FishQuickPara"/>
    <w:lvl w:ilvl="0">
      <w:start w:val="1"/>
      <w:numFmt w:val="decimal"/>
      <w:pStyle w:val="RGQuickPara"/>
      <w:lvlText w:val="%1."/>
      <w:lvlJc w:val="left"/>
      <w:pPr>
        <w:tabs>
          <w:tab w:val="num" w:pos="0"/>
        </w:tabs>
        <w:ind w:left="0" w:firstLine="144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145A17"/>
    <w:multiLevelType w:val="multilevel"/>
    <w:tmpl w:val="D2FCA27C"/>
    <w:lvl w:ilvl="0">
      <w:start w:val="1"/>
      <w:numFmt w:val="bullet"/>
      <w:lvlText w:val=""/>
      <w:lvlJc w:val="left"/>
      <w:pPr>
        <w:tabs>
          <w:tab w:val="num" w:pos="1440"/>
        </w:tabs>
        <w:ind w:left="1440" w:hanging="720"/>
      </w:pPr>
      <w:rPr>
        <w:rFonts w:ascii="Symbol" w:hAnsi="Symbol" w:hint="default"/>
      </w:rPr>
    </w:lvl>
    <w:lvl w:ilvl="1">
      <w:start w:val="1"/>
      <w:numFmt w:val="bullet"/>
      <w:pStyle w:val="Heading2"/>
      <w:lvlText w:val="°"/>
      <w:lvlJc w:val="left"/>
      <w:pPr>
        <w:tabs>
          <w:tab w:val="num" w:pos="1080"/>
        </w:tabs>
        <w:ind w:left="1080" w:hanging="360"/>
      </w:pPr>
      <w:rPr>
        <w:rFonts w:ascii="Tahoma" w:hAnsi="Tahoma" w:hint="default"/>
      </w:rPr>
    </w:lvl>
    <w:lvl w:ilvl="2">
      <w:start w:val="1"/>
      <w:numFmt w:val="lowerRoman"/>
      <w:pStyle w:val="Heading3"/>
      <w:lvlText w:val="%3)"/>
      <w:lvlJc w:val="left"/>
      <w:pPr>
        <w:tabs>
          <w:tab w:val="num" w:pos="1080"/>
        </w:tabs>
        <w:ind w:left="1080" w:hanging="360"/>
      </w:pPr>
      <w:rPr>
        <w:rFonts w:hint="default"/>
      </w:rPr>
    </w:lvl>
    <w:lvl w:ilvl="3">
      <w:start w:val="1"/>
      <w:numFmt w:val="decimal"/>
      <w:pStyle w:val="Heading4"/>
      <w:lvlText w:val="(%4)"/>
      <w:lvlJc w:val="left"/>
      <w:pPr>
        <w:tabs>
          <w:tab w:val="num" w:pos="1440"/>
        </w:tabs>
        <w:ind w:left="1440" w:hanging="360"/>
      </w:pPr>
      <w:rPr>
        <w:rFonts w:hint="default"/>
      </w:rPr>
    </w:lvl>
    <w:lvl w:ilvl="4">
      <w:start w:val="1"/>
      <w:numFmt w:val="lowerLetter"/>
      <w:pStyle w:val="Heading5"/>
      <w:lvlText w:val="(%5)"/>
      <w:lvlJc w:val="left"/>
      <w:pPr>
        <w:tabs>
          <w:tab w:val="num" w:pos="1800"/>
        </w:tabs>
        <w:ind w:left="1800" w:hanging="360"/>
      </w:pPr>
      <w:rPr>
        <w:rFonts w:hint="default"/>
      </w:rPr>
    </w:lvl>
    <w:lvl w:ilvl="5">
      <w:start w:val="1"/>
      <w:numFmt w:val="lowerRoman"/>
      <w:pStyle w:val="Heading6"/>
      <w:lvlText w:val="(%6)"/>
      <w:lvlJc w:val="left"/>
      <w:pPr>
        <w:tabs>
          <w:tab w:val="num" w:pos="2160"/>
        </w:tabs>
        <w:ind w:left="216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pStyle w:val="Heading8"/>
      <w:lvlText w:val="%8."/>
      <w:lvlJc w:val="left"/>
      <w:pPr>
        <w:tabs>
          <w:tab w:val="num" w:pos="2880"/>
        </w:tabs>
        <w:ind w:left="2880" w:hanging="360"/>
      </w:pPr>
      <w:rPr>
        <w:rFonts w:hint="default"/>
      </w:rPr>
    </w:lvl>
    <w:lvl w:ilvl="8">
      <w:start w:val="1"/>
      <w:numFmt w:val="lowerRoman"/>
      <w:pStyle w:val="Heading9"/>
      <w:lvlText w:val="%9."/>
      <w:lvlJc w:val="left"/>
      <w:pPr>
        <w:tabs>
          <w:tab w:val="num" w:pos="3240"/>
        </w:tabs>
        <w:ind w:left="3240" w:hanging="360"/>
      </w:pPr>
      <w:rPr>
        <w:rFonts w:hint="default"/>
      </w:rPr>
    </w:lvl>
  </w:abstractNum>
  <w:abstractNum w:abstractNumId="14" w15:restartNumberingAfterBreak="0">
    <w:nsid w:val="37D63D94"/>
    <w:multiLevelType w:val="multilevel"/>
    <w:tmpl w:val="84F89F1E"/>
    <w:name w:val="FishTableNum"/>
    <w:lvl w:ilvl="0">
      <w:start w:val="1"/>
      <w:numFmt w:val="decimal"/>
      <w:pStyle w:val="RGTblNum"/>
      <w:suff w:val="noth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CE0A54"/>
    <w:multiLevelType w:val="multilevel"/>
    <w:tmpl w:val="7516372E"/>
    <w:name w:val="FishArabicList"/>
    <w:lvl w:ilvl="0">
      <w:start w:val="1"/>
      <w:numFmt w:val="decimal"/>
      <w:pStyle w:val="RGNumbers"/>
      <w:lvlText w:val="%1."/>
      <w:lvlJc w:val="left"/>
      <w:pPr>
        <w:tabs>
          <w:tab w:val="num" w:pos="1440"/>
        </w:tabs>
        <w:ind w:left="144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33BCF"/>
    <w:multiLevelType w:val="multilevel"/>
    <w:tmpl w:val="95AECF00"/>
    <w:name w:val="R"/>
    <w:lvl w:ilvl="0">
      <w:start w:val="1"/>
      <w:numFmt w:val="bullet"/>
      <w:pStyle w:val="RBullets"/>
      <w:lvlText w:val=""/>
      <w:lvlJc w:val="left"/>
      <w:pPr>
        <w:tabs>
          <w:tab w:val="num" w:pos="0"/>
        </w:tabs>
        <w:ind w:left="720" w:hanging="360"/>
      </w:pPr>
      <w:rPr>
        <w:rFonts w:ascii="Symbol" w:hAnsi="Symbol" w:hint="default"/>
      </w:rPr>
    </w:lvl>
    <w:lvl w:ilvl="1">
      <w:start w:val="1"/>
      <w:numFmt w:val="bullet"/>
      <w:pStyle w:val="RBullhollow"/>
      <w:lvlText w:val="°"/>
      <w:lvlJc w:val="left"/>
      <w:pPr>
        <w:tabs>
          <w:tab w:val="num" w:pos="0"/>
        </w:tabs>
        <w:ind w:left="1080" w:hanging="360"/>
      </w:pPr>
      <w:rPr>
        <w:rFonts w:ascii="Symbol" w:hAnsi="Symbol" w:hint="default"/>
      </w:rPr>
    </w:lvl>
    <w:lvl w:ilvl="2">
      <w:start w:val="1"/>
      <w:numFmt w:val="bullet"/>
      <w:pStyle w:val="RBulletind"/>
      <w:lvlText w:val=""/>
      <w:lvlJc w:val="left"/>
      <w:pPr>
        <w:tabs>
          <w:tab w:val="num" w:pos="0"/>
        </w:tabs>
        <w:ind w:left="1440" w:hanging="360"/>
      </w:pPr>
      <w:rPr>
        <w:rFonts w:ascii="Symbol" w:hAnsi="Symbol" w:hint="default"/>
      </w:rPr>
    </w:lvl>
    <w:lvl w:ilvl="3">
      <w:start w:val="1"/>
      <w:numFmt w:val="bullet"/>
      <w:pStyle w:val="RBull4"/>
      <w:lvlText w:val="°"/>
      <w:lvlJc w:val="left"/>
      <w:pPr>
        <w:tabs>
          <w:tab w:val="num" w:pos="0"/>
        </w:tabs>
        <w:ind w:left="1800" w:hanging="360"/>
      </w:pPr>
      <w:rPr>
        <w:rFonts w:ascii="Symbol" w:hAnsi="Symbol" w:hint="default"/>
      </w:rPr>
    </w:lvl>
    <w:lvl w:ilvl="4">
      <w:start w:val="1"/>
      <w:numFmt w:val="bullet"/>
      <w:pStyle w:val="RBull5"/>
      <w:lvlText w:val=""/>
      <w:lvlJc w:val="left"/>
      <w:pPr>
        <w:tabs>
          <w:tab w:val="num" w:pos="0"/>
        </w:tabs>
        <w:ind w:left="2160" w:hanging="360"/>
      </w:pPr>
      <w:rPr>
        <w:rFonts w:ascii="Symbol" w:hAnsi="Symbol" w:hint="default"/>
      </w:rPr>
    </w:lvl>
    <w:lvl w:ilvl="5">
      <w:start w:val="1"/>
      <w:numFmt w:val="bullet"/>
      <w:pStyle w:val="RBull6"/>
      <w:lvlText w:val="°"/>
      <w:lvlJc w:val="left"/>
      <w:pPr>
        <w:tabs>
          <w:tab w:val="num" w:pos="0"/>
        </w:tabs>
        <w:ind w:left="2520" w:hanging="360"/>
      </w:pPr>
      <w:rPr>
        <w:rFonts w:ascii="Symbol" w:hAnsi="Symbol" w:hint="default"/>
      </w:rPr>
    </w:lvl>
    <w:lvl w:ilvl="6">
      <w:start w:val="1"/>
      <w:numFmt w:val="bullet"/>
      <w:pStyle w:val="RBull7"/>
      <w:lvlText w:val=""/>
      <w:lvlJc w:val="left"/>
      <w:pPr>
        <w:tabs>
          <w:tab w:val="num" w:pos="0"/>
        </w:tabs>
        <w:ind w:left="2880" w:hanging="360"/>
      </w:pPr>
      <w:rPr>
        <w:rFonts w:ascii="Symbol" w:hAnsi="Symbol" w:hint="default"/>
      </w:rPr>
    </w:lvl>
    <w:lvl w:ilvl="7">
      <w:start w:val="1"/>
      <w:numFmt w:val="bullet"/>
      <w:pStyle w:val="RBull8"/>
      <w:lvlText w:val="°"/>
      <w:lvlJc w:val="left"/>
      <w:pPr>
        <w:tabs>
          <w:tab w:val="num" w:pos="0"/>
        </w:tabs>
        <w:ind w:left="3240" w:hanging="360"/>
      </w:pPr>
      <w:rPr>
        <w:rFonts w:ascii="Symbol" w:hAnsi="Symbol" w:hint="default"/>
      </w:rPr>
    </w:lvl>
    <w:lvl w:ilvl="8">
      <w:start w:val="1"/>
      <w:numFmt w:val="bullet"/>
      <w:pStyle w:val="RBull9"/>
      <w:lvlText w:val=""/>
      <w:lvlJc w:val="left"/>
      <w:pPr>
        <w:tabs>
          <w:tab w:val="num" w:pos="0"/>
        </w:tabs>
        <w:ind w:left="3600" w:hanging="360"/>
      </w:pPr>
      <w:rPr>
        <w:rFonts w:ascii="Symbol" w:hAnsi="Symbol" w:hint="default"/>
      </w:rPr>
    </w:lvl>
  </w:abstractNum>
  <w:abstractNum w:abstractNumId="17" w15:restartNumberingAfterBreak="0">
    <w:nsid w:val="6C5E2A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96020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1"/>
  </w:num>
  <w:num w:numId="15">
    <w:abstractNumId w:val="14"/>
  </w:num>
  <w:num w:numId="16">
    <w:abstractNumId w:val="16"/>
  </w:num>
  <w:num w:numId="17">
    <w:abstractNumId w:val="18"/>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1"/>
    <w:rsid w:val="000733A2"/>
    <w:rsid w:val="000B7F8A"/>
    <w:rsid w:val="000F45B1"/>
    <w:rsid w:val="00106AB8"/>
    <w:rsid w:val="0011188B"/>
    <w:rsid w:val="0011311E"/>
    <w:rsid w:val="001A5F26"/>
    <w:rsid w:val="001B3AF2"/>
    <w:rsid w:val="001F7DC1"/>
    <w:rsid w:val="00232BE2"/>
    <w:rsid w:val="002E0B66"/>
    <w:rsid w:val="00357E8A"/>
    <w:rsid w:val="00381C40"/>
    <w:rsid w:val="003F01AB"/>
    <w:rsid w:val="0040077E"/>
    <w:rsid w:val="00465156"/>
    <w:rsid w:val="00485808"/>
    <w:rsid w:val="00574AB8"/>
    <w:rsid w:val="005F4BB1"/>
    <w:rsid w:val="00642AAC"/>
    <w:rsid w:val="006B7F6E"/>
    <w:rsid w:val="006D57A7"/>
    <w:rsid w:val="00947B4E"/>
    <w:rsid w:val="00A073BD"/>
    <w:rsid w:val="00A35DAD"/>
    <w:rsid w:val="00B678AC"/>
    <w:rsid w:val="00C01262"/>
    <w:rsid w:val="00C817C9"/>
    <w:rsid w:val="00D23DF8"/>
    <w:rsid w:val="00D72498"/>
    <w:rsid w:val="00DF489C"/>
    <w:rsid w:val="00E522CA"/>
    <w:rsid w:val="00F0344A"/>
    <w:rsid w:val="00F237C8"/>
    <w:rsid w:val="00FA2763"/>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6D0751-8C8E-476C-9B0D-54BE8F5F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Head">
    <w:name w:val="Pap Head"/>
    <w:aliases w:val="ph"/>
    <w:basedOn w:val="Normal"/>
    <w:next w:val="Normal"/>
    <w:semiHidden/>
    <w:pPr>
      <w:keepNext/>
      <w:spacing w:after="240"/>
    </w:pPr>
    <w:rPr>
      <w:rFonts w:ascii="Courier New" w:hAnsi="Courier New"/>
      <w:u w:val="single"/>
    </w:rPr>
  </w:style>
  <w:style w:type="paragraph" w:customStyle="1" w:styleId="RGUnformat">
    <w:name w:val="RG Unformat"/>
    <w:aliases w:val="u"/>
    <w:basedOn w:val="Normal"/>
    <w:semiHidden/>
    <w:pPr>
      <w:spacing w:after="240"/>
    </w:pPr>
  </w:style>
  <w:style w:type="paragraph" w:customStyle="1" w:styleId="PapNum">
    <w:name w:val="Pap Num"/>
    <w:aliases w:val="pn"/>
    <w:basedOn w:val="RGUnformat"/>
    <w:semiHidden/>
    <w:pPr>
      <w:spacing w:after="0" w:line="360" w:lineRule="auto"/>
    </w:pPr>
    <w:rPr>
      <w:rFonts w:ascii="Courier New" w:hAnsi="Courier New"/>
    </w:rPr>
  </w:style>
  <w:style w:type="paragraph" w:customStyle="1" w:styleId="PapTitle">
    <w:name w:val="Pap Title"/>
    <w:basedOn w:val="Normal"/>
    <w:semiHidden/>
    <w:pPr>
      <w:spacing w:before="3040" w:after="840"/>
      <w:jc w:val="center"/>
    </w:pPr>
    <w:rPr>
      <w:rFonts w:ascii="Courier New" w:hAnsi="Courier New"/>
    </w:rPr>
  </w:style>
  <w:style w:type="paragraph" w:customStyle="1" w:styleId="RPara1D">
    <w:name w:val="R Para 1&quot; D"/>
    <w:aliases w:val="2"/>
    <w:basedOn w:val="Normal"/>
    <w:pPr>
      <w:spacing w:line="480" w:lineRule="auto"/>
      <w:ind w:firstLine="1440"/>
    </w:pPr>
  </w:style>
  <w:style w:type="paragraph" w:customStyle="1" w:styleId="RParaNoIndD">
    <w:name w:val="R Para No Ind D"/>
    <w:aliases w:val="nd"/>
    <w:basedOn w:val="Normal"/>
    <w:pPr>
      <w:spacing w:line="480" w:lineRule="auto"/>
    </w:pPr>
  </w:style>
  <w:style w:type="paragraph" w:customStyle="1" w:styleId="RPara11-12">
    <w:name w:val="R Para  1&quot; 1-1/2"/>
    <w:aliases w:val="h"/>
    <w:basedOn w:val="Normal"/>
    <w:pPr>
      <w:spacing w:line="360" w:lineRule="auto"/>
      <w:ind w:firstLine="1440"/>
    </w:pPr>
  </w:style>
  <w:style w:type="paragraph" w:customStyle="1" w:styleId="RPara1S">
    <w:name w:val="R Para 1&quot; S"/>
    <w:aliases w:val="1"/>
    <w:basedOn w:val="Normal"/>
    <w:pPr>
      <w:spacing w:after="240"/>
      <w:ind w:firstLine="1440"/>
    </w:pPr>
  </w:style>
  <w:style w:type="paragraph" w:customStyle="1" w:styleId="RSubtitleU">
    <w:name w:val="R Subtitle U"/>
    <w:aliases w:val="su"/>
    <w:basedOn w:val="Normal"/>
    <w:next w:val="RPara12D"/>
    <w:pPr>
      <w:keepNext/>
      <w:keepLines/>
      <w:spacing w:after="240"/>
    </w:pPr>
    <w:rPr>
      <w:u w:val="single"/>
    </w:rPr>
  </w:style>
  <w:style w:type="paragraph" w:customStyle="1" w:styleId="RBulletind">
    <w:name w:val="R Bullet ind"/>
    <w:aliases w:val="bi"/>
    <w:basedOn w:val="Normal"/>
    <w:pPr>
      <w:numPr>
        <w:ilvl w:val="2"/>
        <w:numId w:val="16"/>
      </w:numPr>
      <w:spacing w:after="120"/>
    </w:pPr>
  </w:style>
  <w:style w:type="paragraph" w:customStyle="1" w:styleId="RBullets">
    <w:name w:val="R Bullets"/>
    <w:aliases w:val="bu"/>
    <w:basedOn w:val="Normal"/>
    <w:pPr>
      <w:numPr>
        <w:numId w:val="16"/>
      </w:numPr>
      <w:spacing w:after="120"/>
    </w:pPr>
  </w:style>
  <w:style w:type="paragraph" w:customStyle="1" w:styleId="RGDummyStyle1">
    <w:name w:val="RG DummyStyle 1"/>
    <w:basedOn w:val="Normal"/>
    <w:semiHidden/>
    <w:pPr>
      <w:spacing w:line="20" w:lineRule="exact"/>
    </w:pPr>
    <w:rPr>
      <w:color w:val="FFFFFF"/>
    </w:rPr>
  </w:style>
  <w:style w:type="paragraph" w:customStyle="1" w:styleId="RGDummyStyle2">
    <w:name w:val="RG DummyStyle 2"/>
    <w:basedOn w:val="RGDummyStyle1"/>
    <w:next w:val="RPara1D"/>
    <w:semiHidden/>
  </w:style>
  <w:style w:type="paragraph" w:customStyle="1" w:styleId="RGDummyStyle3">
    <w:name w:val="RG DummyStyle 3"/>
    <w:basedOn w:val="RGDummyStyle1"/>
    <w:next w:val="RPara1D"/>
    <w:semiHidden/>
  </w:style>
  <w:style w:type="paragraph" w:customStyle="1" w:styleId="RGDummyStyle4">
    <w:name w:val="RG DummyStyle 4"/>
    <w:basedOn w:val="RGDummyStyle1"/>
    <w:next w:val="RPara1D"/>
    <w:semiHidden/>
  </w:style>
  <w:style w:type="paragraph" w:customStyle="1" w:styleId="RGDummyStyleL">
    <w:name w:val="RG DummyStyle L"/>
    <w:basedOn w:val="RGDummyStyle1"/>
    <w:semiHidden/>
  </w:style>
  <w:style w:type="paragraph" w:customStyle="1" w:styleId="RGDummyStyleN">
    <w:name w:val="RG DummyStyle N"/>
    <w:basedOn w:val="RGDummyStyle1"/>
    <w:semiHidden/>
  </w:style>
  <w:style w:type="paragraph" w:customStyle="1" w:styleId="RGDummyStyleP">
    <w:name w:val="RG DummyStyle P"/>
    <w:basedOn w:val="RGDummyStyle1"/>
    <w:semiHidden/>
  </w:style>
  <w:style w:type="paragraph" w:customStyle="1" w:styleId="RGDummyStyletn">
    <w:name w:val="RG DummyStyle tn"/>
    <w:basedOn w:val="RGDummyStyle1"/>
    <w:semiHidden/>
  </w:style>
  <w:style w:type="paragraph" w:customStyle="1" w:styleId="RGHeading1">
    <w:name w:val="RG Heading 1"/>
    <w:basedOn w:val="Normal"/>
    <w:next w:val="RPara1D"/>
    <w:semiHidden/>
    <w:pPr>
      <w:keepNext/>
      <w:keepLines/>
      <w:spacing w:after="240"/>
      <w:outlineLvl w:val="0"/>
    </w:pPr>
  </w:style>
  <w:style w:type="paragraph" w:customStyle="1" w:styleId="RGHeading2">
    <w:name w:val="RG Heading 2"/>
    <w:basedOn w:val="Normal"/>
    <w:next w:val="RPara1D"/>
    <w:semiHidden/>
    <w:pPr>
      <w:keepNext/>
      <w:keepLines/>
      <w:spacing w:after="240"/>
      <w:outlineLvl w:val="1"/>
    </w:pPr>
  </w:style>
  <w:style w:type="paragraph" w:customStyle="1" w:styleId="RGHeading3">
    <w:name w:val="RG Heading 3"/>
    <w:basedOn w:val="Normal"/>
    <w:next w:val="RPara1D"/>
    <w:semiHidden/>
    <w:pPr>
      <w:keepNext/>
      <w:keepLines/>
      <w:spacing w:after="240"/>
      <w:outlineLvl w:val="2"/>
    </w:pPr>
  </w:style>
  <w:style w:type="paragraph" w:customStyle="1" w:styleId="RGHeading4">
    <w:name w:val="RG Heading 4"/>
    <w:basedOn w:val="Normal"/>
    <w:next w:val="RPara1D"/>
    <w:semiHidden/>
    <w:pPr>
      <w:keepNext/>
      <w:keepLines/>
      <w:spacing w:after="240"/>
      <w:outlineLvl w:val="3"/>
    </w:pPr>
  </w:style>
  <w:style w:type="paragraph" w:customStyle="1" w:styleId="RGHeading5">
    <w:name w:val="RG Heading 5"/>
    <w:basedOn w:val="Normal"/>
    <w:next w:val="RPara1D"/>
    <w:semiHidden/>
    <w:pPr>
      <w:keepNext/>
      <w:keepLines/>
      <w:spacing w:after="240"/>
      <w:outlineLvl w:val="4"/>
    </w:pPr>
  </w:style>
  <w:style w:type="paragraph" w:customStyle="1" w:styleId="RGHeading6">
    <w:name w:val="RG Heading 6"/>
    <w:basedOn w:val="Normal"/>
    <w:next w:val="RPara1D"/>
    <w:semiHidden/>
    <w:pPr>
      <w:keepNext/>
      <w:keepLines/>
      <w:spacing w:after="240"/>
      <w:outlineLvl w:val="5"/>
    </w:pPr>
  </w:style>
  <w:style w:type="paragraph" w:customStyle="1" w:styleId="RGHeading7">
    <w:name w:val="RG Heading 7"/>
    <w:basedOn w:val="Normal"/>
    <w:next w:val="RPara1D"/>
    <w:semiHidden/>
    <w:pPr>
      <w:keepNext/>
      <w:keepLines/>
      <w:spacing w:after="240"/>
      <w:outlineLvl w:val="5"/>
    </w:pPr>
  </w:style>
  <w:style w:type="paragraph" w:customStyle="1" w:styleId="RGHeading8">
    <w:name w:val="RG Heading 8"/>
    <w:basedOn w:val="Normal"/>
    <w:next w:val="RPara1D"/>
    <w:semiHidden/>
    <w:pPr>
      <w:keepNext/>
      <w:keepLines/>
      <w:spacing w:after="240"/>
      <w:outlineLvl w:val="6"/>
    </w:pPr>
  </w:style>
  <w:style w:type="paragraph" w:customStyle="1" w:styleId="RGHeading9">
    <w:name w:val="RG Heading 9"/>
    <w:basedOn w:val="Normal"/>
    <w:next w:val="RPara1D"/>
    <w:semiHidden/>
    <w:pPr>
      <w:keepNext/>
      <w:keepLines/>
      <w:spacing w:after="240"/>
      <w:outlineLvl w:val="8"/>
    </w:pPr>
  </w:style>
  <w:style w:type="paragraph" w:customStyle="1" w:styleId="RGLetters">
    <w:name w:val="RG Letters"/>
    <w:aliases w:val="l"/>
    <w:basedOn w:val="Normal"/>
    <w:semiHidden/>
    <w:pPr>
      <w:numPr>
        <w:numId w:val="14"/>
      </w:numPr>
      <w:spacing w:after="240"/>
    </w:pPr>
  </w:style>
  <w:style w:type="paragraph" w:customStyle="1" w:styleId="RBasic">
    <w:name w:val="R Basic"/>
    <w:aliases w:val="r"/>
    <w:basedOn w:val="Normal"/>
  </w:style>
  <w:style w:type="paragraph" w:customStyle="1" w:styleId="RGNumbers">
    <w:name w:val="RG Numbers"/>
    <w:aliases w:val="n"/>
    <w:basedOn w:val="Normal"/>
    <w:semiHidden/>
    <w:pPr>
      <w:numPr>
        <w:numId w:val="12"/>
      </w:numPr>
      <w:tabs>
        <w:tab w:val="clear" w:pos="1440"/>
      </w:tabs>
      <w:spacing w:after="240"/>
    </w:pPr>
  </w:style>
  <w:style w:type="paragraph" w:customStyle="1" w:styleId="RGpap2">
    <w:name w:val="RG pap 2"/>
    <w:aliases w:val="p2"/>
    <w:basedOn w:val="RPara1D"/>
    <w:semiHidden/>
    <w:pPr>
      <w:spacing w:before="240" w:line="360" w:lineRule="auto"/>
      <w:ind w:firstLine="2160"/>
    </w:pPr>
    <w:rPr>
      <w:rFonts w:ascii="Courier New" w:hAnsi="Courier New"/>
    </w:rPr>
  </w:style>
  <w:style w:type="paragraph" w:customStyle="1" w:styleId="RGpapfinal">
    <w:name w:val="RG pap final"/>
    <w:basedOn w:val="RPara1D"/>
    <w:semiHidden/>
    <w:pPr>
      <w:spacing w:before="240" w:line="360" w:lineRule="auto"/>
    </w:pPr>
    <w:rPr>
      <w:rFonts w:ascii="Courier New" w:hAnsi="Courier New"/>
    </w:rPr>
  </w:style>
  <w:style w:type="paragraph" w:customStyle="1" w:styleId="RGQuickPara">
    <w:name w:val="RG Quick Para"/>
    <w:aliases w:val="p"/>
    <w:basedOn w:val="Normal"/>
    <w:semiHidden/>
    <w:pPr>
      <w:numPr>
        <w:numId w:val="13"/>
      </w:numPr>
      <w:spacing w:after="240"/>
    </w:pPr>
  </w:style>
  <w:style w:type="paragraph" w:customStyle="1" w:styleId="RBlockQuote">
    <w:name w:val="R Block Quote"/>
    <w:aliases w:val="q"/>
    <w:basedOn w:val="Normal"/>
    <w:next w:val="RParaNoIndD"/>
    <w:pPr>
      <w:spacing w:after="240"/>
      <w:ind w:left="1440" w:right="1440"/>
    </w:pPr>
  </w:style>
  <w:style w:type="paragraph" w:customStyle="1" w:styleId="RBlockQuInd">
    <w:name w:val="R Block Qu Ind"/>
    <w:aliases w:val="qi"/>
    <w:basedOn w:val="Normal"/>
    <w:next w:val="RParaNoIndD"/>
    <w:pPr>
      <w:spacing w:after="240"/>
      <w:ind w:left="1440" w:right="1440" w:firstLine="720"/>
    </w:pPr>
  </w:style>
  <w:style w:type="paragraph" w:customStyle="1" w:styleId="RSubtitleB">
    <w:name w:val="R Subtitle B"/>
    <w:aliases w:val="s"/>
    <w:basedOn w:val="Normal"/>
    <w:next w:val="RPara1D"/>
    <w:pPr>
      <w:keepNext/>
      <w:keepLines/>
      <w:spacing w:after="240"/>
    </w:pPr>
    <w:rPr>
      <w:b/>
    </w:rPr>
  </w:style>
  <w:style w:type="paragraph" w:customStyle="1" w:styleId="RSignature">
    <w:name w:val="R Signature"/>
    <w:aliases w:val="si"/>
    <w:basedOn w:val="RBasic"/>
    <w:pPr>
      <w:keepLines/>
      <w:tabs>
        <w:tab w:val="left" w:pos="4752"/>
        <w:tab w:val="right" w:pos="9360"/>
      </w:tabs>
      <w:ind w:left="4320" w:hanging="4320"/>
    </w:pPr>
  </w:style>
  <w:style w:type="paragraph" w:customStyle="1" w:styleId="RTblPara">
    <w:name w:val="R TblPara"/>
    <w:aliases w:val="tap"/>
    <w:basedOn w:val="Normal"/>
    <w:pPr>
      <w:spacing w:after="60"/>
    </w:pPr>
  </w:style>
  <w:style w:type="paragraph" w:customStyle="1" w:styleId="RTblHead">
    <w:name w:val="R TblHead"/>
    <w:aliases w:val="th"/>
    <w:basedOn w:val="Normal"/>
    <w:pPr>
      <w:spacing w:before="180" w:after="180"/>
      <w:jc w:val="center"/>
    </w:pPr>
    <w:rPr>
      <w:b/>
      <w:bCs/>
    </w:rPr>
  </w:style>
  <w:style w:type="paragraph" w:customStyle="1" w:styleId="RGTblNum">
    <w:name w:val="RG TblNum"/>
    <w:aliases w:val="tn"/>
    <w:basedOn w:val="RGUnformat"/>
    <w:semiHidden/>
    <w:pPr>
      <w:numPr>
        <w:numId w:val="15"/>
      </w:numPr>
      <w:tabs>
        <w:tab w:val="clear" w:pos="360"/>
      </w:tabs>
    </w:pPr>
  </w:style>
  <w:style w:type="paragraph" w:customStyle="1" w:styleId="RTitleB">
    <w:name w:val="R Title B"/>
    <w:aliases w:val="tb"/>
    <w:basedOn w:val="Normal"/>
    <w:next w:val="RSubtitleB"/>
    <w:pPr>
      <w:spacing w:after="480"/>
      <w:jc w:val="center"/>
    </w:pPr>
    <w:rPr>
      <w:b/>
      <w:caps/>
    </w:rPr>
  </w:style>
  <w:style w:type="paragraph" w:styleId="TOAHeading">
    <w:name w:val="toa heading"/>
    <w:basedOn w:val="Normal"/>
    <w:next w:val="RGUnformat"/>
    <w:pPr>
      <w:jc w:val="center"/>
    </w:pPr>
    <w:rPr>
      <w:rFonts w:cs="Arial"/>
      <w:b/>
      <w:bCs/>
    </w:rPr>
  </w:style>
  <w:style w:type="paragraph" w:styleId="TOC1">
    <w:name w:val="toc 1"/>
    <w:basedOn w:val="Normal"/>
    <w:next w:val="Normal"/>
    <w:autoRedefine/>
    <w:pPr>
      <w:tabs>
        <w:tab w:val="right" w:leader="dot" w:pos="8496"/>
      </w:tabs>
      <w:spacing w:after="240"/>
      <w:ind w:left="360" w:hanging="360"/>
    </w:pPr>
    <w:rPr>
      <w:caps/>
    </w:rPr>
  </w:style>
  <w:style w:type="paragraph" w:styleId="TOC2">
    <w:name w:val="toc 2"/>
    <w:basedOn w:val="Normal"/>
    <w:next w:val="Normal"/>
    <w:autoRedefine/>
    <w:pPr>
      <w:spacing w:after="240"/>
    </w:pPr>
    <w:rPr>
      <w:noProof/>
    </w:rPr>
  </w:style>
  <w:style w:type="paragraph" w:styleId="TOC3">
    <w:name w:val="toc 3"/>
    <w:basedOn w:val="Normal"/>
    <w:next w:val="Normal"/>
    <w:autoRedefine/>
    <w:pPr>
      <w:spacing w:after="240"/>
    </w:pPr>
  </w:style>
  <w:style w:type="paragraph" w:styleId="TOC4">
    <w:name w:val="toc 4"/>
    <w:basedOn w:val="Normal"/>
    <w:next w:val="Normal"/>
    <w:autoRedefine/>
    <w:pPr>
      <w:spacing w:after="240"/>
    </w:pPr>
  </w:style>
  <w:style w:type="paragraph" w:styleId="TOC5">
    <w:name w:val="toc 5"/>
    <w:basedOn w:val="Normal"/>
    <w:next w:val="Normal"/>
    <w:autoRedefine/>
    <w:pPr>
      <w:tabs>
        <w:tab w:val="right" w:leader="dot" w:pos="8496"/>
      </w:tabs>
    </w:pPr>
  </w:style>
  <w:style w:type="paragraph" w:styleId="TOC6">
    <w:name w:val="toc 6"/>
    <w:basedOn w:val="Normal"/>
    <w:next w:val="Normal"/>
    <w:autoRedefine/>
    <w:pPr>
      <w:spacing w:after="240"/>
    </w:pPr>
  </w:style>
  <w:style w:type="paragraph" w:styleId="TOC7">
    <w:name w:val="toc 7"/>
    <w:basedOn w:val="Normal"/>
    <w:next w:val="Normal"/>
    <w:autoRedefine/>
    <w:pPr>
      <w:tabs>
        <w:tab w:val="right" w:leader="dot" w:pos="8496"/>
      </w:tabs>
    </w:pPr>
  </w:style>
  <w:style w:type="paragraph" w:styleId="TOC9">
    <w:name w:val="toc 9"/>
    <w:basedOn w:val="Normal"/>
    <w:next w:val="Normal"/>
    <w:autoRedefine/>
  </w:style>
  <w:style w:type="paragraph" w:customStyle="1" w:styleId="RTOCPage">
    <w:name w:val="R TOC Page"/>
    <w:aliases w:val="tp"/>
    <w:basedOn w:val="Normal"/>
    <w:next w:val="RParaNoIndS"/>
    <w:pPr>
      <w:tabs>
        <w:tab w:val="right" w:pos="9360"/>
      </w:tabs>
      <w:spacing w:after="240"/>
      <w:jc w:val="right"/>
    </w:pPr>
    <w:rPr>
      <w:b/>
    </w:rPr>
  </w:style>
  <w:style w:type="paragraph" w:customStyle="1" w:styleId="RTOCTitle">
    <w:name w:val="R TOC Title"/>
    <w:aliases w:val="toc"/>
    <w:basedOn w:val="Normal"/>
    <w:next w:val="RTOCPage"/>
    <w:pPr>
      <w:spacing w:after="360"/>
      <w:jc w:val="center"/>
    </w:pPr>
    <w:rPr>
      <w:b/>
      <w:caps/>
    </w:rPr>
  </w:style>
  <w:style w:type="paragraph" w:customStyle="1" w:styleId="RParaNoIndS">
    <w:name w:val="R Para No Ind S"/>
    <w:aliases w:val="ns"/>
    <w:basedOn w:val="Normal"/>
    <w:pPr>
      <w:spacing w:after="240"/>
    </w:pPr>
  </w:style>
  <w:style w:type="paragraph" w:customStyle="1" w:styleId="RPara12S">
    <w:name w:val="R Para 1/2&quot; S"/>
    <w:aliases w:val="hs"/>
    <w:basedOn w:val="Normal"/>
    <w:pPr>
      <w:spacing w:after="240"/>
      <w:ind w:firstLine="720"/>
    </w:pPr>
  </w:style>
  <w:style w:type="paragraph" w:customStyle="1" w:styleId="RPara12D">
    <w:name w:val="R Para 1/2&quot; D"/>
    <w:aliases w:val="hd"/>
    <w:basedOn w:val="Normal"/>
    <w:pPr>
      <w:spacing w:line="480" w:lineRule="auto"/>
      <w:ind w:firstLine="720"/>
    </w:pPr>
  </w:style>
  <w:style w:type="paragraph" w:customStyle="1" w:styleId="RPara121-12">
    <w:name w:val="R Para 1/2&quot; 1-1/2"/>
    <w:aliases w:val="hh"/>
    <w:basedOn w:val="RBasic"/>
    <w:pPr>
      <w:spacing w:line="360" w:lineRule="auto"/>
      <w:ind w:firstLine="720"/>
    </w:pPr>
  </w:style>
  <w:style w:type="paragraph" w:customStyle="1" w:styleId="RSubtitleUC">
    <w:name w:val="R Subtitle UC"/>
    <w:aliases w:val="suc"/>
    <w:basedOn w:val="RBasic"/>
    <w:next w:val="RPara12D"/>
    <w:pPr>
      <w:keepNext/>
      <w:keepLines/>
      <w:spacing w:after="240"/>
      <w:jc w:val="center"/>
    </w:pPr>
    <w:rPr>
      <w:caps/>
      <w:u w:val="single"/>
    </w:rPr>
  </w:style>
  <w:style w:type="paragraph" w:customStyle="1" w:styleId="RSubtitleUA">
    <w:name w:val="R Subtitle UA"/>
    <w:aliases w:val="sua"/>
    <w:basedOn w:val="RBasic"/>
    <w:next w:val="RPara12D"/>
    <w:pPr>
      <w:keepNext/>
      <w:keepLines/>
      <w:spacing w:after="240"/>
    </w:pPr>
    <w:rPr>
      <w:caps/>
      <w:u w:val="single"/>
    </w:rPr>
  </w:style>
  <w:style w:type="paragraph" w:customStyle="1" w:styleId="RTitle">
    <w:name w:val="R Title"/>
    <w:aliases w:val="t"/>
    <w:basedOn w:val="RBasic"/>
    <w:next w:val="RSubtitleB"/>
    <w:pPr>
      <w:keepNext/>
      <w:keepLines/>
      <w:spacing w:after="480"/>
      <w:jc w:val="center"/>
    </w:pPr>
    <w:rPr>
      <w:caps/>
    </w:rPr>
  </w:style>
  <w:style w:type="character" w:customStyle="1" w:styleId="RItalicBold">
    <w:name w:val="R ItalicBold"/>
    <w:aliases w:val="ib"/>
    <w:rPr>
      <w:b/>
      <w:i/>
    </w:rPr>
  </w:style>
  <w:style w:type="paragraph" w:customStyle="1" w:styleId="RBullhollow">
    <w:name w:val="R Bull hollow"/>
    <w:aliases w:val="bh"/>
    <w:basedOn w:val="RBulletind"/>
    <w:pPr>
      <w:numPr>
        <w:ilvl w:val="1"/>
      </w:numPr>
    </w:pPr>
  </w:style>
  <w:style w:type="paragraph" w:customStyle="1" w:styleId="RG2ndHead1">
    <w:name w:val="RG 2ndHead 1"/>
    <w:basedOn w:val="Normal"/>
    <w:semiHidden/>
    <w:pPr>
      <w:keepNext/>
      <w:keepLines/>
      <w:spacing w:after="240"/>
      <w:outlineLvl w:val="0"/>
    </w:pPr>
  </w:style>
  <w:style w:type="paragraph" w:customStyle="1" w:styleId="RG2ndHead2">
    <w:name w:val="RG 2ndHead 2"/>
    <w:basedOn w:val="Normal"/>
    <w:semiHidden/>
    <w:pPr>
      <w:keepNext/>
      <w:keepLines/>
      <w:spacing w:after="240"/>
      <w:outlineLvl w:val="1"/>
    </w:pPr>
  </w:style>
  <w:style w:type="paragraph" w:customStyle="1" w:styleId="RG2ndHead3">
    <w:name w:val="RG 2ndHead 3"/>
    <w:basedOn w:val="Normal"/>
    <w:semiHidden/>
    <w:pPr>
      <w:keepNext/>
      <w:keepLines/>
      <w:spacing w:after="240"/>
      <w:outlineLvl w:val="2"/>
    </w:pPr>
  </w:style>
  <w:style w:type="paragraph" w:customStyle="1" w:styleId="RG2ndHead4">
    <w:name w:val="RG 2ndHead 4"/>
    <w:basedOn w:val="Normal"/>
    <w:semiHidden/>
    <w:pPr>
      <w:keepNext/>
      <w:keepLines/>
      <w:spacing w:after="240"/>
      <w:outlineLvl w:val="3"/>
    </w:pPr>
  </w:style>
  <w:style w:type="paragraph" w:customStyle="1" w:styleId="RG2ndHead5">
    <w:name w:val="RG 2ndHead 5"/>
    <w:basedOn w:val="Normal"/>
    <w:semiHidden/>
    <w:pPr>
      <w:keepNext/>
      <w:keepLines/>
      <w:spacing w:after="240"/>
      <w:outlineLvl w:val="4"/>
    </w:pPr>
  </w:style>
  <w:style w:type="paragraph" w:customStyle="1" w:styleId="RG2ndHead6">
    <w:name w:val="RG 2ndHead 6"/>
    <w:basedOn w:val="Normal"/>
    <w:semiHidden/>
    <w:pPr>
      <w:keepNext/>
      <w:keepLines/>
      <w:spacing w:after="240"/>
      <w:outlineLvl w:val="5"/>
    </w:pPr>
  </w:style>
  <w:style w:type="paragraph" w:customStyle="1" w:styleId="RG2ndHead7">
    <w:name w:val="RG 2ndHead 7"/>
    <w:basedOn w:val="Normal"/>
    <w:semiHidden/>
    <w:pPr>
      <w:keepNext/>
      <w:keepLines/>
      <w:spacing w:after="240"/>
      <w:outlineLvl w:val="6"/>
    </w:pPr>
  </w:style>
  <w:style w:type="paragraph" w:customStyle="1" w:styleId="RG2ndHead8">
    <w:name w:val="RG 2ndHead 8"/>
    <w:basedOn w:val="Normal"/>
    <w:semiHidden/>
    <w:pPr>
      <w:keepNext/>
      <w:keepLines/>
      <w:spacing w:after="240"/>
      <w:outlineLvl w:val="7"/>
    </w:pPr>
  </w:style>
  <w:style w:type="paragraph" w:customStyle="1" w:styleId="RG2ndHead9">
    <w:name w:val="RG 2ndHead 9"/>
    <w:basedOn w:val="Normal"/>
    <w:semiHidden/>
    <w:pPr>
      <w:keepNext/>
      <w:keepLines/>
      <w:spacing w:after="240"/>
      <w:outlineLvl w:val="8"/>
    </w:pPr>
  </w:style>
  <w:style w:type="paragraph" w:customStyle="1" w:styleId="dum">
    <w:name w:val="dum"/>
    <w:basedOn w:val="Normal"/>
    <w:semiHidden/>
    <w:pPr>
      <w:spacing w:line="20" w:lineRule="exact"/>
    </w:pPr>
    <w:rPr>
      <w:color w:val="FFFFFF"/>
      <w:sz w:val="2"/>
    </w:rPr>
  </w:style>
  <w:style w:type="paragraph" w:customStyle="1" w:styleId="RBull4">
    <w:name w:val="R Bull4"/>
    <w:basedOn w:val="Normal"/>
    <w:semiHidden/>
    <w:pPr>
      <w:numPr>
        <w:ilvl w:val="3"/>
        <w:numId w:val="16"/>
      </w:numPr>
      <w:spacing w:after="120"/>
    </w:pPr>
  </w:style>
  <w:style w:type="paragraph" w:customStyle="1" w:styleId="RBull5">
    <w:name w:val="R Bull5"/>
    <w:basedOn w:val="Normal"/>
    <w:semiHidden/>
    <w:pPr>
      <w:numPr>
        <w:ilvl w:val="4"/>
        <w:numId w:val="16"/>
      </w:numPr>
      <w:spacing w:after="120"/>
    </w:pPr>
  </w:style>
  <w:style w:type="paragraph" w:customStyle="1" w:styleId="RBull6">
    <w:name w:val="R Bull6"/>
    <w:basedOn w:val="Normal"/>
    <w:semiHidden/>
    <w:pPr>
      <w:numPr>
        <w:ilvl w:val="5"/>
        <w:numId w:val="16"/>
      </w:numPr>
      <w:spacing w:after="120"/>
    </w:pPr>
  </w:style>
  <w:style w:type="paragraph" w:customStyle="1" w:styleId="RBull7">
    <w:name w:val="R Bull7"/>
    <w:basedOn w:val="Normal"/>
    <w:semiHidden/>
    <w:pPr>
      <w:numPr>
        <w:ilvl w:val="6"/>
        <w:numId w:val="16"/>
      </w:numPr>
      <w:spacing w:after="120"/>
    </w:pPr>
  </w:style>
  <w:style w:type="paragraph" w:customStyle="1" w:styleId="RBull8">
    <w:name w:val="R Bull8"/>
    <w:basedOn w:val="Normal"/>
    <w:semiHidden/>
    <w:pPr>
      <w:numPr>
        <w:ilvl w:val="7"/>
        <w:numId w:val="16"/>
      </w:numPr>
      <w:spacing w:after="120"/>
    </w:pPr>
  </w:style>
  <w:style w:type="paragraph" w:customStyle="1" w:styleId="RBull9">
    <w:name w:val="R Bull9"/>
    <w:basedOn w:val="Normal"/>
    <w:semiHidden/>
    <w:pPr>
      <w:numPr>
        <w:ilvl w:val="8"/>
        <w:numId w:val="16"/>
      </w:numPr>
      <w:spacing w:after="120"/>
    </w:pPr>
  </w:style>
  <w:style w:type="paragraph" w:styleId="TOC8">
    <w:name w:val="toc 8"/>
    <w:basedOn w:val="Normal"/>
    <w:next w:val="Normal"/>
    <w:autoRedefine/>
    <w:pPr>
      <w:spacing w:after="240"/>
    </w:pPr>
  </w:style>
  <w:style w:type="numbering" w:styleId="111111">
    <w:name w:val="Outline List 2"/>
    <w:basedOn w:val="NoList"/>
    <w:semiHidden/>
    <w:pPr>
      <w:numPr>
        <w:numId w:val="17"/>
      </w:numPr>
    </w:pPr>
  </w:style>
  <w:style w:type="numbering" w:styleId="1ai">
    <w:name w:val="Outline List 1"/>
    <w:basedOn w:val="NoList"/>
    <w:semiHidden/>
    <w:pPr>
      <w:numPr>
        <w:numId w:val="18"/>
      </w:numPr>
    </w:pPr>
  </w:style>
  <w:style w:type="numbering" w:styleId="ArticleSection">
    <w:name w:val="Outline List 3"/>
    <w:basedOn w:val="NoList"/>
    <w:semiHidden/>
    <w:pPr>
      <w:numPr>
        <w:numId w:val="19"/>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character" w:styleId="FootnoteReference">
    <w:name w:val="footnote reference"/>
    <w:rPr>
      <w:vertAlign w:val="superscript"/>
    </w:rPr>
  </w:style>
  <w:style w:type="paragraph" w:styleId="FootnoteText">
    <w:name w:val="footnote text"/>
    <w:basedOn w:val="Normal"/>
    <w:pPr>
      <w:spacing w:after="120"/>
    </w:pPr>
    <w:rPr>
      <w:sz w:val="20"/>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NormalWeb">
    <w:name w:val="Normal (Web)"/>
    <w:basedOn w:val="Normal"/>
    <w:uiPriority w:val="99"/>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szCs w:val="20"/>
    </w:rPr>
  </w:style>
  <w:style w:type="paragraph" w:customStyle="1" w:styleId="pcg-Article">
    <w:name w:val="pcg-Article"/>
    <w:aliases w:val="Trust"/>
    <w:basedOn w:val="Normal"/>
    <w:semiHidden/>
    <w:pPr>
      <w:spacing w:line="480" w:lineRule="auto"/>
      <w:ind w:firstLine="720"/>
    </w:pPr>
    <w:rPr>
      <w:sz w:val="26"/>
      <w:szCs w:val="20"/>
    </w:rPr>
  </w:style>
  <w:style w:type="paragraph" w:customStyle="1" w:styleId="pcg-Footer">
    <w:name w:val="pcg-Footer"/>
    <w:basedOn w:val="Normal"/>
    <w:semiHidden/>
    <w:pPr>
      <w:tabs>
        <w:tab w:val="center" w:pos="4320"/>
        <w:tab w:val="right" w:pos="8640"/>
      </w:tabs>
    </w:pPr>
    <w:rPr>
      <w:szCs w:val="20"/>
    </w:rPr>
  </w:style>
  <w:style w:type="paragraph" w:customStyle="1" w:styleId="pcg-LeftSignature">
    <w:name w:val="pcg-Left Signature"/>
    <w:basedOn w:val="Normal"/>
    <w:semiHidden/>
    <w:pPr>
      <w:tabs>
        <w:tab w:val="left" w:pos="8640"/>
      </w:tabs>
      <w:ind w:left="86"/>
    </w:pPr>
    <w:rPr>
      <w:sz w:val="26"/>
      <w:szCs w:val="20"/>
    </w:rPr>
  </w:style>
  <w:style w:type="paragraph" w:customStyle="1" w:styleId="pcg-LeftUnderline">
    <w:name w:val="pcg-Left Underline"/>
    <w:basedOn w:val="Normal"/>
    <w:next w:val="pcg-LeftSignature"/>
    <w:semiHidden/>
    <w:pPr>
      <w:keepNext/>
      <w:tabs>
        <w:tab w:val="left" w:leader="underscore" w:pos="4147"/>
      </w:tabs>
    </w:pPr>
    <w:rPr>
      <w:sz w:val="26"/>
      <w:szCs w:val="20"/>
    </w:rPr>
  </w:style>
  <w:style w:type="paragraph" w:customStyle="1" w:styleId="pcg-NotaryHeading">
    <w:name w:val="pcg-Notary Heading"/>
    <w:basedOn w:val="Normal"/>
    <w:next w:val="Normal"/>
    <w:semiHidden/>
    <w:pPr>
      <w:tabs>
        <w:tab w:val="left" w:pos="8640"/>
      </w:tabs>
      <w:spacing w:after="260" w:line="282" w:lineRule="exact"/>
      <w:jc w:val="center"/>
    </w:pPr>
    <w:rPr>
      <w:caps/>
      <w:sz w:val="26"/>
      <w:szCs w:val="20"/>
    </w:rPr>
  </w:style>
  <w:style w:type="paragraph" w:customStyle="1" w:styleId="pcg-NotaryParagraph">
    <w:name w:val="pcg-Notary Paragraph"/>
    <w:basedOn w:val="pcg-Article"/>
    <w:semiHidden/>
    <w:pPr>
      <w:spacing w:line="480" w:lineRule="exact"/>
    </w:pPr>
  </w:style>
  <w:style w:type="paragraph" w:customStyle="1" w:styleId="pcg-NotarySingle">
    <w:name w:val="pcg-Notary Single"/>
    <w:basedOn w:val="Normal"/>
    <w:semiHidden/>
    <w:pPr>
      <w:spacing w:after="240"/>
      <w:ind w:firstLine="720"/>
    </w:pPr>
    <w:rPr>
      <w:sz w:val="26"/>
      <w:szCs w:val="20"/>
    </w:rPr>
  </w:style>
  <w:style w:type="paragraph" w:customStyle="1" w:styleId="pcg-SignatureUnderline">
    <w:name w:val="pcg-Signature Underline"/>
    <w:basedOn w:val="Normal"/>
    <w:next w:val="Normal"/>
    <w:semiHidden/>
    <w:pPr>
      <w:keepNext/>
      <w:tabs>
        <w:tab w:val="left" w:leader="underscore" w:pos="8640"/>
      </w:tabs>
      <w:ind w:left="4507"/>
    </w:pPr>
    <w:rPr>
      <w:sz w:val="26"/>
      <w:szCs w:val="20"/>
    </w:rPr>
  </w:style>
  <w:style w:type="paragraph" w:customStyle="1" w:styleId="pcg-SignatureUnderline2">
    <w:name w:val="pcg-Signature Underline 2"/>
    <w:basedOn w:val="Normal"/>
    <w:next w:val="Normal"/>
    <w:semiHidden/>
    <w:pPr>
      <w:tabs>
        <w:tab w:val="left" w:leader="underscore" w:pos="4140"/>
        <w:tab w:val="left" w:pos="4500"/>
        <w:tab w:val="left" w:leader="underscore" w:pos="8640"/>
      </w:tabs>
    </w:pPr>
    <w:rPr>
      <w:sz w:val="26"/>
      <w:szCs w:val="20"/>
    </w:rPr>
  </w:style>
  <w:style w:type="paragraph" w:customStyle="1" w:styleId="pcg-Spacer">
    <w:name w:val="pcg-Spacer"/>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ind w:firstLine="720"/>
    </w:pPr>
    <w:rPr>
      <w:sz w:val="26"/>
      <w:szCs w:val="20"/>
    </w:rPr>
  </w:style>
  <w:style w:type="paragraph" w:customStyle="1" w:styleId="pcg-SubPara1">
    <w:name w:val="pcg-SubPara1"/>
    <w:basedOn w:val="Normal"/>
    <w:semiHidden/>
    <w:pPr>
      <w:tabs>
        <w:tab w:val="left" w:pos="8640"/>
      </w:tabs>
      <w:spacing w:after="280"/>
      <w:ind w:left="1440" w:right="720" w:hanging="720"/>
    </w:pPr>
    <w:rPr>
      <w:sz w:val="26"/>
      <w:szCs w:val="20"/>
    </w:rPr>
  </w:style>
  <w:style w:type="paragraph" w:customStyle="1" w:styleId="pcg-SubPara2">
    <w:name w:val="pcg-SubPara2"/>
    <w:basedOn w:val="Normal"/>
    <w:semiHidden/>
    <w:pPr>
      <w:tabs>
        <w:tab w:val="left" w:pos="8640"/>
      </w:tabs>
      <w:spacing w:after="280"/>
      <w:ind w:left="2160" w:right="720" w:hanging="720"/>
    </w:pPr>
    <w:rPr>
      <w:sz w:val="26"/>
      <w:szCs w:val="20"/>
    </w:rPr>
  </w:style>
  <w:style w:type="paragraph" w:customStyle="1" w:styleId="pcg-SubPara3">
    <w:name w:val="pcg-SubPara3"/>
    <w:basedOn w:val="Normal"/>
    <w:semiHidden/>
    <w:pPr>
      <w:tabs>
        <w:tab w:val="left" w:pos="8640"/>
      </w:tabs>
      <w:spacing w:after="280"/>
      <w:ind w:left="2880" w:right="720" w:hanging="720"/>
    </w:pPr>
    <w:rPr>
      <w:sz w:val="26"/>
      <w:szCs w:val="20"/>
    </w:rPr>
  </w:style>
  <w:style w:type="paragraph" w:customStyle="1" w:styleId="pcg-TrustHeader">
    <w:name w:val="pcg-Trust Header"/>
    <w:basedOn w:val="Normal"/>
    <w:next w:val="Normal"/>
    <w:semiHidden/>
    <w:pPr>
      <w:tabs>
        <w:tab w:val="left" w:pos="2160"/>
        <w:tab w:val="left" w:pos="3600"/>
        <w:tab w:val="left" w:pos="5760"/>
        <w:tab w:val="left" w:pos="7920"/>
      </w:tabs>
      <w:spacing w:line="282" w:lineRule="exact"/>
    </w:pPr>
    <w:rPr>
      <w:sz w:val="26"/>
      <w:szCs w:val="20"/>
    </w:rPr>
  </w:style>
  <w:style w:type="paragraph" w:customStyle="1" w:styleId="pcg-TrustSign2">
    <w:name w:val="pcg-Trust Sign 2"/>
    <w:basedOn w:val="Normal"/>
    <w:semiHidden/>
    <w:pPr>
      <w:tabs>
        <w:tab w:val="left" w:pos="4608"/>
      </w:tabs>
      <w:ind w:left="86"/>
    </w:pPr>
    <w:rPr>
      <w:sz w:val="26"/>
      <w:szCs w:val="20"/>
    </w:rPr>
  </w:style>
  <w:style w:type="paragraph" w:customStyle="1" w:styleId="pcg-TrustSignature">
    <w:name w:val="pcg-Trust Signature"/>
    <w:basedOn w:val="Normal"/>
    <w:semiHidden/>
    <w:pPr>
      <w:keepNext/>
      <w:keepLines/>
      <w:tabs>
        <w:tab w:val="right" w:pos="8640"/>
      </w:tabs>
      <w:spacing w:after="520" w:line="282" w:lineRule="exact"/>
      <w:ind w:left="4608"/>
    </w:pPr>
    <w:rPr>
      <w:sz w:val="26"/>
      <w:szCs w:val="20"/>
    </w:rPr>
  </w:style>
  <w:style w:type="paragraph" w:customStyle="1" w:styleId="pcg-TrustTitle">
    <w:name w:val="pcg-Trust Title"/>
    <w:basedOn w:val="Normal"/>
    <w:next w:val="pcg-Article"/>
    <w:semiHidden/>
    <w:pPr>
      <w:tabs>
        <w:tab w:val="left" w:pos="8640"/>
      </w:tabs>
      <w:spacing w:before="1040" w:after="480" w:line="282" w:lineRule="exact"/>
      <w:ind w:left="14" w:hanging="14"/>
      <w:jc w:val="center"/>
    </w:pPr>
    <w:rPr>
      <w:caps/>
      <w:sz w:val="26"/>
      <w:szCs w:val="20"/>
      <w:u w:val="single"/>
    </w:rPr>
  </w:style>
  <w:style w:type="character" w:styleId="Hyperlink">
    <w:name w:val="Hyperlink"/>
    <w:rPr>
      <w:color w:val="0000FF"/>
      <w:u w:val="single"/>
    </w:rPr>
  </w:style>
  <w:style w:type="character" w:styleId="PageNumber">
    <w:name w:val="page number"/>
    <w:basedOn w:val="DefaultParagraphFont"/>
  </w:style>
  <w:style w:type="paragraph" w:customStyle="1" w:styleId="rrdsinglerule">
    <w:name w:val="rrdsinglerule"/>
    <w:basedOn w:val="Normal"/>
    <w:next w:val="Normal"/>
    <w:pPr>
      <w:pBdr>
        <w:top w:val="single" w:sz="8" w:space="1" w:color="auto"/>
      </w:pBdr>
      <w:spacing w:before="20" w:line="20" w:lineRule="exact"/>
      <w:jc w:val="center"/>
    </w:pPr>
    <w:rPr>
      <w:sz w:val="8"/>
      <w:szCs w:val="8"/>
    </w:rPr>
  </w:style>
  <w:style w:type="paragraph" w:customStyle="1" w:styleId="rfn">
    <w:name w:val="rfn"/>
    <w:autoRedefine/>
    <w:pPr>
      <w:pBdr>
        <w:bottom w:val="single" w:sz="6" w:space="1" w:color="auto"/>
      </w:pBdr>
      <w:spacing w:after="60" w:line="120" w:lineRule="exact"/>
      <w:ind w:right="9360"/>
    </w:pPr>
    <w:rPr>
      <w:noProof/>
      <w:sz w:val="12"/>
      <w:lang w:eastAsia="en-US"/>
    </w:rPr>
  </w:style>
  <w:style w:type="paragraph" w:customStyle="1" w:styleId="DocID">
    <w:name w:val="DocID"/>
    <w:basedOn w:val="Normal"/>
    <w:uiPriority w:val="25"/>
    <w:rPr>
      <w:sz w:val="16"/>
      <w:szCs w:val="22"/>
      <w:lang w:eastAsia="zh-CN"/>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2218">
      <w:bodyDiv w:val="1"/>
      <w:marLeft w:val="0"/>
      <w:marRight w:val="0"/>
      <w:marTop w:val="0"/>
      <w:marBottom w:val="0"/>
      <w:divBdr>
        <w:top w:val="none" w:sz="0" w:space="0" w:color="auto"/>
        <w:left w:val="none" w:sz="0" w:space="0" w:color="auto"/>
        <w:bottom w:val="none" w:sz="0" w:space="0" w:color="auto"/>
        <w:right w:val="none" w:sz="0" w:space="0" w:color="auto"/>
      </w:divBdr>
    </w:div>
    <w:div w:id="870000954">
      <w:bodyDiv w:val="1"/>
      <w:marLeft w:val="0"/>
      <w:marRight w:val="0"/>
      <w:marTop w:val="0"/>
      <w:marBottom w:val="0"/>
      <w:divBdr>
        <w:top w:val="none" w:sz="0" w:space="0" w:color="auto"/>
        <w:left w:val="none" w:sz="0" w:space="0" w:color="auto"/>
        <w:bottom w:val="none" w:sz="0" w:space="0" w:color="auto"/>
        <w:right w:val="none" w:sz="0" w:space="0" w:color="auto"/>
      </w:divBdr>
    </w:div>
    <w:div w:id="1049839273">
      <w:bodyDiv w:val="1"/>
      <w:marLeft w:val="0"/>
      <w:marRight w:val="0"/>
      <w:marTop w:val="0"/>
      <w:marBottom w:val="0"/>
      <w:divBdr>
        <w:top w:val="none" w:sz="0" w:space="0" w:color="auto"/>
        <w:left w:val="none" w:sz="0" w:space="0" w:color="auto"/>
        <w:bottom w:val="none" w:sz="0" w:space="0" w:color="auto"/>
        <w:right w:val="none" w:sz="0" w:space="0" w:color="auto"/>
      </w:divBdr>
    </w:div>
    <w:div w:id="1621955840">
      <w:bodyDiv w:val="1"/>
      <w:marLeft w:val="0"/>
      <w:marRight w:val="0"/>
      <w:marTop w:val="0"/>
      <w:marBottom w:val="0"/>
      <w:divBdr>
        <w:top w:val="none" w:sz="0" w:space="0" w:color="auto"/>
        <w:left w:val="none" w:sz="0" w:space="0" w:color="auto"/>
        <w:bottom w:val="none" w:sz="0" w:space="0" w:color="auto"/>
        <w:right w:val="none" w:sz="0" w:space="0" w:color="auto"/>
      </w:divBdr>
    </w:div>
    <w:div w:id="1962178827">
      <w:bodyDiv w:val="1"/>
      <w:marLeft w:val="0"/>
      <w:marRight w:val="0"/>
      <w:marTop w:val="0"/>
      <w:marBottom w:val="0"/>
      <w:divBdr>
        <w:top w:val="none" w:sz="0" w:space="0" w:color="auto"/>
        <w:left w:val="none" w:sz="0" w:space="0" w:color="auto"/>
        <w:bottom w:val="none" w:sz="0" w:space="0" w:color="auto"/>
        <w:right w:val="none" w:sz="0" w:space="0" w:color="auto"/>
      </w:divBdr>
    </w:div>
    <w:div w:id="21295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haiyan.gao</dc:creator>
  <cp:keywords/>
  <cp:lastModifiedBy>fchk</cp:lastModifiedBy>
  <cp:revision>12</cp:revision>
  <dcterms:created xsi:type="dcterms:W3CDTF">2016-10-28T02:53:00Z</dcterms:created>
  <dcterms:modified xsi:type="dcterms:W3CDTF">2016-10-31T08:24:00Z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